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3B" w:rsidRPr="00463A95" w:rsidRDefault="0030583B" w:rsidP="0030583B">
      <w:pPr>
        <w:spacing w:after="240" w:line="240" w:lineRule="auto"/>
      </w:pPr>
      <w:bookmarkStart w:id="0" w:name="_Toc325028458"/>
      <w:bookmarkStart w:id="1" w:name="_Toc355128701"/>
      <w:r w:rsidRPr="00463A95">
        <w:rPr>
          <w:bCs/>
          <w:szCs w:val="22"/>
        </w:rPr>
        <w:t xml:space="preserve">Watts, </w:t>
      </w:r>
      <w:proofErr w:type="spellStart"/>
      <w:r w:rsidRPr="00463A95">
        <w:rPr>
          <w:bCs/>
          <w:szCs w:val="22"/>
        </w:rPr>
        <w:t>RJ</w:t>
      </w:r>
      <w:r w:rsidRPr="00463A95">
        <w:rPr>
          <w:bCs/>
          <w:szCs w:val="22"/>
          <w:vertAlign w:val="superscript"/>
        </w:rPr>
        <w:t>a</w:t>
      </w:r>
      <w:proofErr w:type="spellEnd"/>
      <w:r w:rsidRPr="00463A95">
        <w:rPr>
          <w:bCs/>
          <w:szCs w:val="22"/>
        </w:rPr>
        <w:t xml:space="preserve">, Kopf, </w:t>
      </w:r>
      <w:proofErr w:type="spellStart"/>
      <w:r w:rsidRPr="00463A95">
        <w:rPr>
          <w:bCs/>
          <w:szCs w:val="22"/>
        </w:rPr>
        <w:t>R.K.</w:t>
      </w:r>
      <w:r w:rsidRPr="00463A95">
        <w:rPr>
          <w:bCs/>
          <w:szCs w:val="22"/>
          <w:vertAlign w:val="superscript"/>
        </w:rPr>
        <w:t>a</w:t>
      </w:r>
      <w:proofErr w:type="spellEnd"/>
      <w:r w:rsidRPr="00463A95">
        <w:rPr>
          <w:bCs/>
          <w:szCs w:val="22"/>
        </w:rPr>
        <w:t xml:space="preserve">, </w:t>
      </w:r>
      <w:proofErr w:type="spellStart"/>
      <w:r w:rsidRPr="00463A95">
        <w:rPr>
          <w:bCs/>
          <w:szCs w:val="22"/>
        </w:rPr>
        <w:t>Hladyz</w:t>
      </w:r>
      <w:proofErr w:type="spellEnd"/>
      <w:r w:rsidRPr="00463A95">
        <w:rPr>
          <w:bCs/>
          <w:szCs w:val="22"/>
        </w:rPr>
        <w:t xml:space="preserve">, </w:t>
      </w:r>
      <w:proofErr w:type="spellStart"/>
      <w:r w:rsidRPr="00463A95">
        <w:rPr>
          <w:bCs/>
          <w:szCs w:val="22"/>
        </w:rPr>
        <w:t>S.</w:t>
      </w:r>
      <w:r w:rsidRPr="00463A95">
        <w:rPr>
          <w:bCs/>
          <w:szCs w:val="22"/>
          <w:vertAlign w:val="superscript"/>
        </w:rPr>
        <w:t>b</w:t>
      </w:r>
      <w:proofErr w:type="spellEnd"/>
      <w:r w:rsidRPr="00463A95">
        <w:rPr>
          <w:bCs/>
          <w:szCs w:val="22"/>
        </w:rPr>
        <w:t xml:space="preserve">, Grace, </w:t>
      </w:r>
      <w:proofErr w:type="spellStart"/>
      <w:r w:rsidRPr="00463A95">
        <w:rPr>
          <w:bCs/>
          <w:szCs w:val="22"/>
        </w:rPr>
        <w:t>M.</w:t>
      </w:r>
      <w:r w:rsidRPr="00463A95">
        <w:rPr>
          <w:bCs/>
          <w:szCs w:val="22"/>
          <w:vertAlign w:val="superscript"/>
        </w:rPr>
        <w:t>b</w:t>
      </w:r>
      <w:proofErr w:type="spellEnd"/>
      <w:r w:rsidRPr="00463A95">
        <w:rPr>
          <w:bCs/>
          <w:szCs w:val="22"/>
        </w:rPr>
        <w:t xml:space="preserve">, Thompson, </w:t>
      </w:r>
      <w:proofErr w:type="spellStart"/>
      <w:r w:rsidRPr="00463A95">
        <w:rPr>
          <w:bCs/>
          <w:szCs w:val="22"/>
        </w:rPr>
        <w:t>R.</w:t>
      </w:r>
      <w:r w:rsidRPr="00463A95">
        <w:rPr>
          <w:bCs/>
          <w:szCs w:val="22"/>
          <w:vertAlign w:val="superscript"/>
        </w:rPr>
        <w:t>b</w:t>
      </w:r>
      <w:proofErr w:type="spellEnd"/>
      <w:r w:rsidRPr="00463A95">
        <w:rPr>
          <w:bCs/>
          <w:szCs w:val="22"/>
        </w:rPr>
        <w:t xml:space="preserve">, </w:t>
      </w:r>
      <w:proofErr w:type="spellStart"/>
      <w:r w:rsidRPr="00463A95">
        <w:rPr>
          <w:bCs/>
          <w:szCs w:val="22"/>
        </w:rPr>
        <w:t>McCasker</w:t>
      </w:r>
      <w:proofErr w:type="spellEnd"/>
      <w:r w:rsidRPr="00463A95">
        <w:rPr>
          <w:bCs/>
          <w:szCs w:val="22"/>
        </w:rPr>
        <w:t xml:space="preserve">, </w:t>
      </w:r>
      <w:proofErr w:type="spellStart"/>
      <w:r w:rsidRPr="00463A95">
        <w:rPr>
          <w:bCs/>
          <w:szCs w:val="22"/>
        </w:rPr>
        <w:t>N.</w:t>
      </w:r>
      <w:r w:rsidRPr="00463A95">
        <w:rPr>
          <w:bCs/>
          <w:szCs w:val="22"/>
          <w:vertAlign w:val="superscript"/>
        </w:rPr>
        <w:t>a</w:t>
      </w:r>
      <w:proofErr w:type="spellEnd"/>
      <w:r w:rsidRPr="00463A95">
        <w:rPr>
          <w:bCs/>
          <w:szCs w:val="22"/>
        </w:rPr>
        <w:t xml:space="preserve">, </w:t>
      </w:r>
      <w:proofErr w:type="spellStart"/>
      <w:r w:rsidRPr="00463A95">
        <w:rPr>
          <w:bCs/>
          <w:szCs w:val="22"/>
        </w:rPr>
        <w:t>Wassens</w:t>
      </w:r>
      <w:proofErr w:type="spellEnd"/>
      <w:r w:rsidRPr="00463A95">
        <w:rPr>
          <w:bCs/>
          <w:szCs w:val="22"/>
        </w:rPr>
        <w:t xml:space="preserve">, </w:t>
      </w:r>
      <w:proofErr w:type="spellStart"/>
      <w:r w:rsidRPr="00463A95">
        <w:rPr>
          <w:bCs/>
          <w:szCs w:val="22"/>
        </w:rPr>
        <w:t>S.</w:t>
      </w:r>
      <w:r w:rsidRPr="00463A95">
        <w:rPr>
          <w:bCs/>
          <w:szCs w:val="22"/>
          <w:vertAlign w:val="superscript"/>
        </w:rPr>
        <w:t>a</w:t>
      </w:r>
      <w:proofErr w:type="spellEnd"/>
      <w:r w:rsidRPr="00463A95">
        <w:rPr>
          <w:bCs/>
          <w:szCs w:val="22"/>
        </w:rPr>
        <w:t xml:space="preserve">, </w:t>
      </w:r>
      <w:proofErr w:type="spellStart"/>
      <w:r w:rsidRPr="00463A95">
        <w:rPr>
          <w:bCs/>
          <w:szCs w:val="22"/>
        </w:rPr>
        <w:t>Howitt</w:t>
      </w:r>
      <w:proofErr w:type="spellEnd"/>
      <w:r w:rsidRPr="00463A95">
        <w:rPr>
          <w:bCs/>
          <w:szCs w:val="22"/>
        </w:rPr>
        <w:t xml:space="preserve">, </w:t>
      </w:r>
      <w:proofErr w:type="spellStart"/>
      <w:r w:rsidRPr="00463A95">
        <w:rPr>
          <w:bCs/>
          <w:szCs w:val="22"/>
        </w:rPr>
        <w:t>J.A.</w:t>
      </w:r>
      <w:r w:rsidRPr="00463A95">
        <w:rPr>
          <w:bCs/>
          <w:szCs w:val="22"/>
          <w:vertAlign w:val="superscript"/>
        </w:rPr>
        <w:t>a</w:t>
      </w:r>
      <w:proofErr w:type="spellEnd"/>
      <w:r w:rsidRPr="00463A95">
        <w:rPr>
          <w:bCs/>
          <w:szCs w:val="22"/>
        </w:rPr>
        <w:t xml:space="preserve">, A. Burns, and </w:t>
      </w:r>
      <w:proofErr w:type="spellStart"/>
      <w:r w:rsidRPr="00463A95">
        <w:rPr>
          <w:bCs/>
          <w:szCs w:val="22"/>
        </w:rPr>
        <w:t>Conallin</w:t>
      </w:r>
      <w:proofErr w:type="spellEnd"/>
      <w:r w:rsidRPr="00463A95">
        <w:rPr>
          <w:bCs/>
          <w:szCs w:val="22"/>
        </w:rPr>
        <w:t xml:space="preserve">, </w:t>
      </w:r>
      <w:proofErr w:type="spellStart"/>
      <w:r w:rsidRPr="00463A95">
        <w:rPr>
          <w:bCs/>
          <w:szCs w:val="22"/>
        </w:rPr>
        <w:t>J.</w:t>
      </w:r>
      <w:r w:rsidRPr="00463A95">
        <w:rPr>
          <w:bCs/>
          <w:szCs w:val="22"/>
          <w:vertAlign w:val="superscript"/>
        </w:rPr>
        <w:t>c</w:t>
      </w:r>
      <w:proofErr w:type="spellEnd"/>
      <w:r w:rsidRPr="00463A95">
        <w:rPr>
          <w:bCs/>
          <w:szCs w:val="22"/>
          <w:vertAlign w:val="superscript"/>
        </w:rPr>
        <w:t xml:space="preserve"> </w:t>
      </w:r>
      <w:r w:rsidRPr="00463A95">
        <w:rPr>
          <w:bCs/>
          <w:szCs w:val="22"/>
        </w:rPr>
        <w:t>(201</w:t>
      </w:r>
      <w:r>
        <w:rPr>
          <w:bCs/>
          <w:szCs w:val="22"/>
        </w:rPr>
        <w:t>3</w:t>
      </w:r>
      <w:r w:rsidRPr="00463A95">
        <w:rPr>
          <w:bCs/>
          <w:szCs w:val="22"/>
        </w:rPr>
        <w:t xml:space="preserve">). </w:t>
      </w:r>
      <w:bookmarkStart w:id="2" w:name="OLE_LINK3"/>
      <w:bookmarkStart w:id="3" w:name="OLE_LINK4"/>
      <w:proofErr w:type="gramStart"/>
      <w:r w:rsidRPr="009B4568">
        <w:rPr>
          <w:bCs/>
          <w:i/>
          <w:szCs w:val="22"/>
        </w:rPr>
        <w:t>Monitoring of ecosystem responses to the delivery of environmental water in the Edward-Wakool system, 2011-2012</w:t>
      </w:r>
      <w:bookmarkEnd w:id="2"/>
      <w:bookmarkEnd w:id="3"/>
      <w:r w:rsidRPr="00463A95">
        <w:rPr>
          <w:bCs/>
          <w:szCs w:val="22"/>
        </w:rPr>
        <w:t>.</w:t>
      </w:r>
      <w:proofErr w:type="gramEnd"/>
      <w:r w:rsidRPr="00463A95">
        <w:rPr>
          <w:bCs/>
          <w:szCs w:val="22"/>
        </w:rPr>
        <w:t xml:space="preserve"> Institute for Land, Water and Society, Charles Sturt University, Report 2. </w:t>
      </w:r>
      <w:proofErr w:type="gramStart"/>
      <w:r w:rsidRPr="00463A95">
        <w:rPr>
          <w:bCs/>
          <w:szCs w:val="22"/>
        </w:rPr>
        <w:t xml:space="preserve">A report to the </w:t>
      </w:r>
      <w:r>
        <w:t xml:space="preserve">Commonwealth Environmental Water </w:t>
      </w:r>
      <w:r w:rsidRPr="00463A95">
        <w:t>Office, Canberra, Australia.</w:t>
      </w:r>
      <w:proofErr w:type="gramEnd"/>
      <w:r w:rsidRPr="00463A9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40"/>
      </w:tblGrid>
      <w:tr w:rsidR="0030583B" w:rsidTr="0030583B">
        <w:trPr>
          <w:cnfStyle w:val="100000000000"/>
        </w:trPr>
        <w:tc>
          <w:tcPr>
            <w:tcW w:w="4503" w:type="dxa"/>
          </w:tcPr>
          <w:p w:rsidR="0030583B" w:rsidRPr="00463A95" w:rsidRDefault="0030583B" w:rsidP="0030583B">
            <w:pPr>
              <w:spacing w:after="0" w:line="240" w:lineRule="auto"/>
              <w:rPr>
                <w:sz w:val="20"/>
              </w:rPr>
            </w:pPr>
            <w:r w:rsidRPr="00463A95">
              <w:rPr>
                <w:sz w:val="20"/>
                <w:vertAlign w:val="superscript"/>
              </w:rPr>
              <w:t xml:space="preserve">a </w:t>
            </w:r>
            <w:r w:rsidRPr="00463A95">
              <w:rPr>
                <w:bCs/>
                <w:sz w:val="20"/>
              </w:rPr>
              <w:t>Institute for Land, Water and Society</w:t>
            </w:r>
            <w:r w:rsidRPr="00463A95">
              <w:rPr>
                <w:sz w:val="20"/>
              </w:rPr>
              <w:t xml:space="preserve"> </w:t>
            </w:r>
          </w:p>
          <w:p w:rsidR="0030583B" w:rsidRPr="00463A95" w:rsidRDefault="0030583B" w:rsidP="0030583B">
            <w:pPr>
              <w:spacing w:after="0" w:line="240" w:lineRule="auto"/>
              <w:rPr>
                <w:sz w:val="20"/>
              </w:rPr>
            </w:pPr>
            <w:r w:rsidRPr="00463A95">
              <w:rPr>
                <w:sz w:val="20"/>
              </w:rPr>
              <w:t>Charles Sturt University</w:t>
            </w:r>
          </w:p>
          <w:p w:rsidR="0030583B" w:rsidRPr="00463A95" w:rsidRDefault="0030583B" w:rsidP="0030583B">
            <w:pPr>
              <w:spacing w:after="0" w:line="240" w:lineRule="auto"/>
              <w:rPr>
                <w:sz w:val="20"/>
              </w:rPr>
            </w:pPr>
            <w:r w:rsidRPr="00463A95">
              <w:rPr>
                <w:sz w:val="20"/>
              </w:rPr>
              <w:t>Institute for Land, Water and Society</w:t>
            </w:r>
          </w:p>
          <w:p w:rsidR="0030583B" w:rsidRPr="00463A95" w:rsidRDefault="0030583B" w:rsidP="0030583B">
            <w:pPr>
              <w:spacing w:after="0" w:line="240" w:lineRule="auto"/>
              <w:rPr>
                <w:sz w:val="20"/>
              </w:rPr>
            </w:pPr>
            <w:r w:rsidRPr="00463A95">
              <w:rPr>
                <w:sz w:val="20"/>
              </w:rPr>
              <w:t>PO 789 Box, Albury, NSW 2640</w:t>
            </w:r>
          </w:p>
          <w:p w:rsidR="0030583B" w:rsidRDefault="0030583B" w:rsidP="0030583B">
            <w:pPr>
              <w:spacing w:after="0" w:line="240" w:lineRule="auto"/>
              <w:rPr>
                <w:vertAlign w:val="superscript"/>
              </w:rPr>
            </w:pPr>
          </w:p>
        </w:tc>
        <w:tc>
          <w:tcPr>
            <w:tcW w:w="4536" w:type="dxa"/>
          </w:tcPr>
          <w:p w:rsidR="0030583B" w:rsidRDefault="0030583B" w:rsidP="0030583B">
            <w:pPr>
              <w:spacing w:after="0" w:line="240" w:lineRule="auto"/>
              <w:rPr>
                <w:vertAlign w:val="superscript"/>
              </w:rPr>
            </w:pPr>
            <w:r w:rsidRPr="00B16F08">
              <w:rPr>
                <w:noProof/>
                <w:vertAlign w:val="superscript"/>
                <w:lang w:eastAsia="en-AU"/>
              </w:rPr>
              <w:drawing>
                <wp:inline distT="0" distB="0" distL="0" distR="0">
                  <wp:extent cx="2190777" cy="715617"/>
                  <wp:effectExtent l="19050" t="0" r="0" b="0"/>
                  <wp:docPr id="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t="6604" b="8491"/>
                          <a:stretch>
                            <a:fillRect/>
                          </a:stretch>
                        </pic:blipFill>
                        <pic:spPr bwMode="auto">
                          <a:xfrm>
                            <a:off x="0" y="0"/>
                            <a:ext cx="2190777" cy="715617"/>
                          </a:xfrm>
                          <a:prstGeom prst="rect">
                            <a:avLst/>
                          </a:prstGeom>
                          <a:noFill/>
                          <a:ln w="9525">
                            <a:noFill/>
                            <a:miter lim="800000"/>
                            <a:headEnd/>
                            <a:tailEnd/>
                          </a:ln>
                        </pic:spPr>
                      </pic:pic>
                    </a:graphicData>
                  </a:graphic>
                </wp:inline>
              </w:drawing>
            </w:r>
          </w:p>
        </w:tc>
      </w:tr>
      <w:tr w:rsidR="0030583B" w:rsidTr="0030583B">
        <w:trPr>
          <w:cnfStyle w:val="000000100000"/>
        </w:trPr>
        <w:tc>
          <w:tcPr>
            <w:tcW w:w="4503" w:type="dxa"/>
          </w:tcPr>
          <w:p w:rsidR="0030583B" w:rsidRPr="00463A95" w:rsidRDefault="0030583B" w:rsidP="0030583B">
            <w:pPr>
              <w:spacing w:after="0" w:line="240" w:lineRule="auto"/>
              <w:jc w:val="left"/>
              <w:rPr>
                <w:sz w:val="20"/>
              </w:rPr>
            </w:pPr>
            <w:r w:rsidRPr="00463A95">
              <w:rPr>
                <w:sz w:val="20"/>
                <w:vertAlign w:val="superscript"/>
              </w:rPr>
              <w:t>b.</w:t>
            </w:r>
            <w:r w:rsidRPr="00463A95">
              <w:rPr>
                <w:sz w:val="20"/>
              </w:rPr>
              <w:t xml:space="preserve"> Water Studies Centre &amp; Australian Centre for Biodiversity</w:t>
            </w:r>
          </w:p>
          <w:p w:rsidR="0030583B" w:rsidRPr="00463A95" w:rsidRDefault="0030583B" w:rsidP="0030583B">
            <w:pPr>
              <w:spacing w:after="0" w:line="240" w:lineRule="auto"/>
              <w:jc w:val="left"/>
              <w:rPr>
                <w:sz w:val="20"/>
              </w:rPr>
            </w:pPr>
            <w:r w:rsidRPr="00463A95">
              <w:rPr>
                <w:sz w:val="20"/>
              </w:rPr>
              <w:t>Monash University,</w:t>
            </w:r>
          </w:p>
          <w:p w:rsidR="0030583B" w:rsidRPr="00463A95" w:rsidRDefault="0030583B" w:rsidP="0030583B">
            <w:pPr>
              <w:spacing w:after="0" w:line="240" w:lineRule="auto"/>
              <w:jc w:val="left"/>
              <w:rPr>
                <w:sz w:val="20"/>
              </w:rPr>
            </w:pPr>
            <w:r w:rsidRPr="00463A95">
              <w:rPr>
                <w:sz w:val="20"/>
              </w:rPr>
              <w:t>Clayton, Victoria, 3800, AUSTRALIA</w:t>
            </w:r>
          </w:p>
          <w:p w:rsidR="0030583B" w:rsidRDefault="0030583B" w:rsidP="0030583B">
            <w:pPr>
              <w:spacing w:after="0" w:line="240" w:lineRule="auto"/>
              <w:rPr>
                <w:vertAlign w:val="superscript"/>
              </w:rPr>
            </w:pPr>
          </w:p>
        </w:tc>
        <w:tc>
          <w:tcPr>
            <w:tcW w:w="4536" w:type="dxa"/>
          </w:tcPr>
          <w:p w:rsidR="0030583B" w:rsidRDefault="0030583B" w:rsidP="0030583B">
            <w:pPr>
              <w:spacing w:after="0" w:line="240" w:lineRule="auto"/>
              <w:rPr>
                <w:vertAlign w:val="superscript"/>
              </w:rPr>
            </w:pPr>
            <w:r w:rsidRPr="00745821">
              <w:rPr>
                <w:noProof/>
                <w:vertAlign w:val="superscript"/>
                <w:lang w:eastAsia="en-AU"/>
              </w:rPr>
              <w:drawing>
                <wp:inline distT="0" distB="0" distL="0" distR="0">
                  <wp:extent cx="2296632" cy="574158"/>
                  <wp:effectExtent l="19050" t="0" r="8418" b="0"/>
                  <wp:docPr id="8" name="Picture 8" descr="F2183 ILWS_Robyn 3b_Page_1.jpg"/>
                  <wp:cNvGraphicFramePr/>
                  <a:graphic xmlns:a="http://schemas.openxmlformats.org/drawingml/2006/main">
                    <a:graphicData uri="http://schemas.openxmlformats.org/drawingml/2006/picture">
                      <pic:pic xmlns:pic="http://schemas.openxmlformats.org/drawingml/2006/picture">
                        <pic:nvPicPr>
                          <pic:cNvPr id="2" name="Picture 1" descr="F2183 ILWS_Robyn 3b_Page_1.jpg"/>
                          <pic:cNvPicPr/>
                        </pic:nvPicPr>
                        <pic:blipFill>
                          <a:blip r:embed="rId12" cstate="print"/>
                          <a:srcRect l="67407" t="9253" r="2200" b="85377"/>
                          <a:stretch>
                            <a:fillRect/>
                          </a:stretch>
                        </pic:blipFill>
                        <pic:spPr>
                          <a:xfrm>
                            <a:off x="0" y="0"/>
                            <a:ext cx="2296632" cy="574158"/>
                          </a:xfrm>
                          <a:prstGeom prst="rect">
                            <a:avLst/>
                          </a:prstGeom>
                        </pic:spPr>
                      </pic:pic>
                    </a:graphicData>
                  </a:graphic>
                </wp:inline>
              </w:drawing>
            </w:r>
          </w:p>
        </w:tc>
      </w:tr>
      <w:tr w:rsidR="0030583B" w:rsidTr="0030583B">
        <w:trPr>
          <w:cnfStyle w:val="000000010000"/>
        </w:trPr>
        <w:tc>
          <w:tcPr>
            <w:tcW w:w="4503" w:type="dxa"/>
          </w:tcPr>
          <w:p w:rsidR="0030583B" w:rsidRPr="00463A95" w:rsidRDefault="0030583B" w:rsidP="0030583B">
            <w:pPr>
              <w:spacing w:after="0" w:line="240" w:lineRule="auto"/>
              <w:rPr>
                <w:sz w:val="20"/>
              </w:rPr>
            </w:pPr>
            <w:r w:rsidRPr="00463A95">
              <w:rPr>
                <w:sz w:val="20"/>
                <w:vertAlign w:val="superscript"/>
              </w:rPr>
              <w:t>c.</w:t>
            </w:r>
            <w:r w:rsidRPr="00463A95">
              <w:rPr>
                <w:sz w:val="20"/>
              </w:rPr>
              <w:t xml:space="preserve"> Murray Catchment Management Authority</w:t>
            </w:r>
          </w:p>
          <w:p w:rsidR="0030583B" w:rsidRPr="00463A95" w:rsidRDefault="0030583B" w:rsidP="0030583B">
            <w:pPr>
              <w:spacing w:after="0" w:line="240" w:lineRule="auto"/>
              <w:rPr>
                <w:sz w:val="20"/>
              </w:rPr>
            </w:pPr>
            <w:r w:rsidRPr="00463A95">
              <w:rPr>
                <w:sz w:val="20"/>
              </w:rPr>
              <w:t>PO Box 835</w:t>
            </w:r>
          </w:p>
          <w:p w:rsidR="0030583B" w:rsidRDefault="0030583B" w:rsidP="0030583B">
            <w:pPr>
              <w:spacing w:after="0" w:line="240" w:lineRule="auto"/>
              <w:rPr>
                <w:sz w:val="20"/>
              </w:rPr>
            </w:pPr>
            <w:r w:rsidRPr="00463A95">
              <w:rPr>
                <w:sz w:val="20"/>
              </w:rPr>
              <w:t>Deniliquin, NSW 2710</w:t>
            </w:r>
          </w:p>
          <w:p w:rsidR="0030583B" w:rsidRPr="00463A95" w:rsidRDefault="0030583B" w:rsidP="0030583B">
            <w:pPr>
              <w:spacing w:after="0" w:line="240" w:lineRule="auto"/>
              <w:rPr>
                <w:sz w:val="20"/>
              </w:rPr>
            </w:pPr>
          </w:p>
        </w:tc>
        <w:tc>
          <w:tcPr>
            <w:tcW w:w="4536" w:type="dxa"/>
          </w:tcPr>
          <w:p w:rsidR="0030583B" w:rsidRDefault="0030583B" w:rsidP="0030583B">
            <w:pPr>
              <w:spacing w:after="0" w:line="240" w:lineRule="auto"/>
              <w:jc w:val="left"/>
              <w:rPr>
                <w:vertAlign w:val="superscript"/>
              </w:rPr>
            </w:pPr>
            <w:r>
              <w:rPr>
                <w:noProof/>
                <w:vertAlign w:val="superscript"/>
                <w:lang w:eastAsia="en-AU"/>
              </w:rPr>
              <w:drawing>
                <wp:inline distT="0" distB="0" distL="0" distR="0">
                  <wp:extent cx="2726269" cy="351941"/>
                  <wp:effectExtent l="19050" t="0" r="0" b="0"/>
                  <wp:docPr id="9" name="Picture 41" descr="C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A_logo.JPG"/>
                          <pic:cNvPicPr/>
                        </pic:nvPicPr>
                        <pic:blipFill>
                          <a:blip r:embed="rId13" cstate="print"/>
                          <a:stretch>
                            <a:fillRect/>
                          </a:stretch>
                        </pic:blipFill>
                        <pic:spPr>
                          <a:xfrm>
                            <a:off x="0" y="0"/>
                            <a:ext cx="2743642" cy="354184"/>
                          </a:xfrm>
                          <a:prstGeom prst="rect">
                            <a:avLst/>
                          </a:prstGeom>
                        </pic:spPr>
                      </pic:pic>
                    </a:graphicData>
                  </a:graphic>
                </wp:inline>
              </w:drawing>
            </w:r>
          </w:p>
        </w:tc>
      </w:tr>
    </w:tbl>
    <w:p w:rsidR="00033699" w:rsidRPr="005B558B" w:rsidRDefault="00033699" w:rsidP="0030583B">
      <w:pPr>
        <w:pStyle w:val="Heading1"/>
        <w:spacing w:before="360"/>
      </w:pPr>
      <w:r w:rsidRPr="005B558B">
        <w:t>Executive summary</w:t>
      </w:r>
      <w:bookmarkEnd w:id="0"/>
      <w:bookmarkEnd w:id="1"/>
    </w:p>
    <w:p w:rsidR="00033699" w:rsidRPr="000757B4" w:rsidRDefault="00033699" w:rsidP="003F50DD">
      <w:pPr>
        <w:spacing w:after="240" w:line="240" w:lineRule="auto"/>
        <w:rPr>
          <w:rFonts w:cs="Arial"/>
        </w:rPr>
      </w:pPr>
      <w:r w:rsidRPr="000757B4">
        <w:t>The Edward-Wakool system</w:t>
      </w:r>
      <w:r>
        <w:t xml:space="preserve"> is</w:t>
      </w:r>
      <w:r w:rsidRPr="000757B4">
        <w:t xml:space="preserve"> a major anabranch and floodplain of the Murray River</w:t>
      </w:r>
      <w:r>
        <w:t>.</w:t>
      </w:r>
      <w:r w:rsidRPr="000757B4">
        <w:t xml:space="preserve"> </w:t>
      </w:r>
      <w:r>
        <w:t>It i</w:t>
      </w:r>
      <w:r w:rsidRPr="000757B4">
        <w:t xml:space="preserve">s a complex </w:t>
      </w:r>
      <w:r>
        <w:t>network</w:t>
      </w:r>
      <w:r w:rsidRPr="000757B4">
        <w:t xml:space="preserve"> of interconnected streams, ephemeral creeks, flood runners and wetlands intersected by irrigation channels. </w:t>
      </w:r>
      <w:r>
        <w:t>This system</w:t>
      </w:r>
      <w:r w:rsidRPr="000757B4">
        <w:t xml:space="preserve"> has a </w:t>
      </w:r>
      <w:r>
        <w:t xml:space="preserve">long </w:t>
      </w:r>
      <w:r w:rsidRPr="000757B4">
        <w:t xml:space="preserve">history of regulated flows for irrigation, stock and domestic </w:t>
      </w:r>
      <w:r>
        <w:t xml:space="preserve">water </w:t>
      </w:r>
      <w:r w:rsidRPr="000757B4">
        <w:t>supply</w:t>
      </w:r>
      <w:r>
        <w:t xml:space="preserve"> but</w:t>
      </w:r>
      <w:r w:rsidRPr="000757B4">
        <w:t xml:space="preserve"> </w:t>
      </w:r>
      <w:r>
        <w:rPr>
          <w:rFonts w:cs="Arial"/>
        </w:rPr>
        <w:t>it is also recognised</w:t>
      </w:r>
      <w:r w:rsidRPr="000757B4">
        <w:rPr>
          <w:rFonts w:cs="Arial"/>
        </w:rPr>
        <w:t xml:space="preserve"> </w:t>
      </w:r>
      <w:r>
        <w:rPr>
          <w:rFonts w:cs="Arial"/>
        </w:rPr>
        <w:t>as having</w:t>
      </w:r>
      <w:r w:rsidRPr="000757B4">
        <w:rPr>
          <w:rFonts w:cs="Arial"/>
        </w:rPr>
        <w:t xml:space="preserve"> high native species richness and diversity, including threatened and endangered fishes, frogs, mammals, and riparian plants. </w:t>
      </w:r>
    </w:p>
    <w:p w:rsidR="00033699" w:rsidRPr="000757B4" w:rsidRDefault="00033699" w:rsidP="003F50DD">
      <w:pPr>
        <w:autoSpaceDE w:val="0"/>
        <w:autoSpaceDN w:val="0"/>
        <w:adjustRightInd w:val="0"/>
        <w:spacing w:after="120" w:line="240" w:lineRule="auto"/>
      </w:pPr>
      <w:r>
        <w:t>A range of e</w:t>
      </w:r>
      <w:r w:rsidRPr="000757B4">
        <w:t xml:space="preserve">nvironmental water use strategies </w:t>
      </w:r>
      <w:r>
        <w:t xml:space="preserve">have been proposed </w:t>
      </w:r>
      <w:r w:rsidRPr="000757B4">
        <w:t>for the Edward-Wakool system</w:t>
      </w:r>
      <w:r>
        <w:t xml:space="preserve"> (Hale and SKM </w:t>
      </w:r>
      <w:r w:rsidRPr="000757B4">
        <w:t xml:space="preserve">2011). </w:t>
      </w:r>
      <w:r>
        <w:t>This report focuses on the assessment of ecosystem responses to one of the watering strategies; delivery of freshes to</w:t>
      </w:r>
      <w:r w:rsidRPr="000757B4">
        <w:t xml:space="preserve"> the Edward-Wakool </w:t>
      </w:r>
      <w:proofErr w:type="gramStart"/>
      <w:r w:rsidRPr="000757B4">
        <w:t>rivers</w:t>
      </w:r>
      <w:proofErr w:type="gramEnd"/>
      <w:r w:rsidRPr="000757B4">
        <w:t xml:space="preserve"> to promote ecosystem function for in-channel flora and fauna.</w:t>
      </w:r>
      <w:r>
        <w:t xml:space="preserve"> </w:t>
      </w:r>
      <w:r w:rsidRPr="000757B4">
        <w:t xml:space="preserve">In 2011-12 </w:t>
      </w:r>
      <w:r>
        <w:t xml:space="preserve">Commonwealth environmental water </w:t>
      </w:r>
      <w:r w:rsidRPr="000757B4">
        <w:t>was delivered to the Edward-Wakool system on three occasions</w:t>
      </w:r>
      <w:r>
        <w:t>.</w:t>
      </w:r>
      <w:r w:rsidRPr="000757B4">
        <w:t xml:space="preserve"> The three environmental watering actions were:</w:t>
      </w:r>
    </w:p>
    <w:p w:rsidR="00033699" w:rsidRPr="000757B4" w:rsidRDefault="00033699" w:rsidP="003F50DD">
      <w:pPr>
        <w:pStyle w:val="NormalWeb"/>
        <w:numPr>
          <w:ilvl w:val="0"/>
          <w:numId w:val="9"/>
        </w:numPr>
        <w:spacing w:before="0" w:beforeAutospacing="0" w:after="0" w:afterAutospacing="0"/>
        <w:ind w:left="714" w:hanging="357"/>
        <w:jc w:val="both"/>
        <w:rPr>
          <w:rFonts w:ascii="Calibri" w:eastAsia="Calibri" w:hAnsi="Calibri"/>
          <w:sz w:val="22"/>
          <w:szCs w:val="20"/>
          <w:lang w:eastAsia="en-US"/>
        </w:rPr>
      </w:pPr>
      <w:r w:rsidRPr="000757B4">
        <w:rPr>
          <w:rFonts w:ascii="Calibri" w:eastAsia="Calibri" w:hAnsi="Calibri"/>
          <w:sz w:val="22"/>
          <w:szCs w:val="20"/>
          <w:lang w:eastAsia="en-US"/>
        </w:rPr>
        <w:t xml:space="preserve">November 2011 environmental watering in </w:t>
      </w:r>
      <w:proofErr w:type="spellStart"/>
      <w:r w:rsidRPr="000757B4">
        <w:rPr>
          <w:rFonts w:ascii="Calibri" w:eastAsia="Calibri" w:hAnsi="Calibri"/>
          <w:sz w:val="22"/>
          <w:szCs w:val="20"/>
          <w:lang w:eastAsia="en-US"/>
        </w:rPr>
        <w:t>Colligen</w:t>
      </w:r>
      <w:proofErr w:type="spellEnd"/>
      <w:r w:rsidRPr="000757B4">
        <w:rPr>
          <w:rFonts w:ascii="Calibri" w:eastAsia="Calibri" w:hAnsi="Calibri"/>
          <w:sz w:val="22"/>
          <w:szCs w:val="20"/>
          <w:lang w:eastAsia="en-US"/>
        </w:rPr>
        <w:t xml:space="preserve"> Creek</w:t>
      </w:r>
    </w:p>
    <w:p w:rsidR="00033699" w:rsidRPr="000757B4" w:rsidRDefault="00033699" w:rsidP="003F50DD">
      <w:pPr>
        <w:pStyle w:val="NormalWeb"/>
        <w:numPr>
          <w:ilvl w:val="0"/>
          <w:numId w:val="9"/>
        </w:numPr>
        <w:spacing w:before="0" w:beforeAutospacing="0" w:after="0" w:afterAutospacing="0"/>
        <w:ind w:left="714" w:hanging="357"/>
        <w:jc w:val="both"/>
        <w:rPr>
          <w:rFonts w:ascii="Calibri" w:eastAsia="Calibri" w:hAnsi="Calibri"/>
          <w:sz w:val="22"/>
          <w:szCs w:val="20"/>
          <w:lang w:eastAsia="en-US"/>
        </w:rPr>
      </w:pPr>
      <w:r w:rsidRPr="000757B4">
        <w:rPr>
          <w:rFonts w:ascii="Calibri" w:eastAsia="Calibri" w:hAnsi="Calibri"/>
          <w:sz w:val="22"/>
          <w:szCs w:val="20"/>
          <w:lang w:eastAsia="en-US"/>
        </w:rPr>
        <w:t xml:space="preserve">February 2012 environmental watering in </w:t>
      </w:r>
      <w:proofErr w:type="spellStart"/>
      <w:r w:rsidRPr="000757B4">
        <w:rPr>
          <w:rFonts w:ascii="Calibri" w:eastAsia="Calibri" w:hAnsi="Calibri"/>
          <w:sz w:val="22"/>
          <w:szCs w:val="20"/>
          <w:lang w:eastAsia="en-US"/>
        </w:rPr>
        <w:t>Colligen</w:t>
      </w:r>
      <w:proofErr w:type="spellEnd"/>
      <w:r w:rsidRPr="000757B4">
        <w:rPr>
          <w:rFonts w:ascii="Calibri" w:eastAsia="Calibri" w:hAnsi="Calibri"/>
          <w:sz w:val="22"/>
          <w:szCs w:val="20"/>
          <w:lang w:eastAsia="en-US"/>
        </w:rPr>
        <w:t xml:space="preserve"> Creek and the Wakool River</w:t>
      </w:r>
    </w:p>
    <w:p w:rsidR="00033699" w:rsidRDefault="00033699" w:rsidP="003F50DD">
      <w:pPr>
        <w:pStyle w:val="NormalWeb"/>
        <w:numPr>
          <w:ilvl w:val="0"/>
          <w:numId w:val="9"/>
        </w:numPr>
        <w:spacing w:before="0" w:beforeAutospacing="0" w:after="0" w:afterAutospacing="0"/>
        <w:ind w:left="714" w:hanging="357"/>
        <w:jc w:val="both"/>
        <w:rPr>
          <w:rFonts w:ascii="Calibri" w:eastAsia="Calibri" w:hAnsi="Calibri"/>
          <w:sz w:val="22"/>
          <w:szCs w:val="20"/>
          <w:lang w:eastAsia="en-US"/>
        </w:rPr>
      </w:pPr>
      <w:r>
        <w:rPr>
          <w:rFonts w:ascii="Calibri" w:eastAsia="Calibri" w:hAnsi="Calibri"/>
          <w:sz w:val="22"/>
          <w:szCs w:val="20"/>
          <w:lang w:eastAsia="en-US"/>
        </w:rPr>
        <w:t>April</w:t>
      </w:r>
      <w:r w:rsidRPr="000757B4">
        <w:rPr>
          <w:rFonts w:ascii="Calibri" w:eastAsia="Calibri" w:hAnsi="Calibri"/>
          <w:sz w:val="22"/>
          <w:szCs w:val="20"/>
          <w:lang w:eastAsia="en-US"/>
        </w:rPr>
        <w:t xml:space="preserve"> to May 2012 environmental watering via i</w:t>
      </w:r>
      <w:r>
        <w:rPr>
          <w:rFonts w:ascii="Calibri" w:eastAsia="Calibri" w:hAnsi="Calibri"/>
          <w:sz w:val="22"/>
          <w:szCs w:val="20"/>
          <w:lang w:eastAsia="en-US"/>
        </w:rPr>
        <w:t>rrigation escapes to the Edward</w:t>
      </w:r>
      <w:r w:rsidRPr="000757B4">
        <w:rPr>
          <w:rFonts w:ascii="Calibri" w:eastAsia="Calibri" w:hAnsi="Calibri"/>
          <w:sz w:val="22"/>
          <w:szCs w:val="20"/>
          <w:lang w:eastAsia="en-US"/>
        </w:rPr>
        <w:t xml:space="preserve"> and Wakool Rivers.</w:t>
      </w:r>
    </w:p>
    <w:p w:rsidR="00033699" w:rsidRPr="003F50DD" w:rsidRDefault="00033699" w:rsidP="003F50DD">
      <w:pPr>
        <w:spacing w:before="240" w:after="240"/>
        <w:rPr>
          <w:b/>
          <w:szCs w:val="22"/>
          <w:lang w:eastAsia="en-AU"/>
        </w:rPr>
      </w:pPr>
      <w:r w:rsidRPr="003F50DD">
        <w:rPr>
          <w:b/>
          <w:szCs w:val="22"/>
          <w:lang w:eastAsia="en-AU"/>
        </w:rPr>
        <w:t>Delivery of environmental water in November 2011</w:t>
      </w:r>
    </w:p>
    <w:p w:rsidR="00033699" w:rsidRDefault="00033699" w:rsidP="003F50DD">
      <w:pPr>
        <w:spacing w:after="240" w:line="240" w:lineRule="auto"/>
      </w:pPr>
      <w:r w:rsidRPr="000757B4">
        <w:t xml:space="preserve">In November 2011 5.5 </w:t>
      </w:r>
      <w:proofErr w:type="spellStart"/>
      <w:r w:rsidRPr="000757B4">
        <w:t>gigalitres</w:t>
      </w:r>
      <w:proofErr w:type="spellEnd"/>
      <w:r w:rsidRPr="000757B4">
        <w:t xml:space="preserve"> (GL) of </w:t>
      </w:r>
      <w:r>
        <w:t>Commonwealth environmental water w</w:t>
      </w:r>
      <w:r w:rsidRPr="000757B4">
        <w:t xml:space="preserve">as delivered to </w:t>
      </w:r>
      <w:proofErr w:type="spellStart"/>
      <w:r w:rsidRPr="000757B4">
        <w:t>Colligen</w:t>
      </w:r>
      <w:proofErr w:type="spellEnd"/>
      <w:r w:rsidRPr="000757B4">
        <w:t xml:space="preserve"> Creek in conjunction with 1.7 GL of water supplied by the New South Wales Government. The environmental water was used to gradually raise flows commencing on 19/11/11 and then lower flows over 20 days.</w:t>
      </w:r>
      <w:r>
        <w:t xml:space="preserve"> </w:t>
      </w:r>
    </w:p>
    <w:p w:rsidR="00033699" w:rsidRDefault="00033699" w:rsidP="003F50DD">
      <w:pPr>
        <w:spacing w:after="240" w:line="240" w:lineRule="auto"/>
      </w:pPr>
      <w:r w:rsidRPr="003F50DD">
        <w:t>The primary objective for the November 2011 environmental watering was to “encourage movement of large bodied native fish such as Murray cod, silver perch and golden perch to initiate spawning and recruitment of these species” (CEWO 2012a). The environmental watering was also expected to maintain and enhance in-stream habitat.</w:t>
      </w:r>
    </w:p>
    <w:p w:rsidR="0030583B" w:rsidRDefault="0030583B">
      <w:pPr>
        <w:spacing w:after="0" w:line="240" w:lineRule="auto"/>
        <w:jc w:val="left"/>
      </w:pPr>
      <w:r>
        <w:br w:type="page"/>
      </w:r>
    </w:p>
    <w:p w:rsidR="00033699" w:rsidRPr="003F50DD" w:rsidRDefault="00033699" w:rsidP="003F50DD">
      <w:pPr>
        <w:spacing w:before="240" w:after="240"/>
        <w:rPr>
          <w:b/>
          <w:szCs w:val="22"/>
          <w:lang w:eastAsia="en-AU"/>
        </w:rPr>
      </w:pPr>
      <w:r w:rsidRPr="003F50DD">
        <w:rPr>
          <w:b/>
          <w:szCs w:val="22"/>
          <w:lang w:eastAsia="en-AU"/>
        </w:rPr>
        <w:lastRenderedPageBreak/>
        <w:t>Delivery of environmental water in February 2012</w:t>
      </w:r>
    </w:p>
    <w:p w:rsidR="00033699" w:rsidRPr="000757B4" w:rsidRDefault="00033699" w:rsidP="003F50DD">
      <w:pPr>
        <w:spacing w:after="240" w:line="240" w:lineRule="auto"/>
      </w:pPr>
      <w:r w:rsidRPr="000757B4">
        <w:t xml:space="preserve">In February 2012 7.5 GL of </w:t>
      </w:r>
      <w:r>
        <w:t xml:space="preserve">Commonwealth environmental water </w:t>
      </w:r>
      <w:r w:rsidRPr="000757B4">
        <w:t xml:space="preserve">was delivered to </w:t>
      </w:r>
      <w:proofErr w:type="spellStart"/>
      <w:r w:rsidRPr="000757B4">
        <w:t>Colligen</w:t>
      </w:r>
      <w:proofErr w:type="spellEnd"/>
      <w:r w:rsidRPr="000757B4">
        <w:t xml:space="preserve"> Creek and the Wakool River in conjunction with 6.9 GL of water supplied by the New South Wales Government. The environmental watering in </w:t>
      </w:r>
      <w:proofErr w:type="spellStart"/>
      <w:r w:rsidRPr="000757B4">
        <w:t>Colligen</w:t>
      </w:r>
      <w:proofErr w:type="spellEnd"/>
      <w:r w:rsidRPr="000757B4">
        <w:t xml:space="preserve"> Creek commenced on </w:t>
      </w:r>
      <w:r>
        <w:t>8</w:t>
      </w:r>
      <w:r w:rsidRPr="000757B4">
        <w:t xml:space="preserve">/2/2012 to build </w:t>
      </w:r>
      <w:r>
        <w:t>on an unregulated</w:t>
      </w:r>
      <w:r w:rsidRPr="000757B4">
        <w:t xml:space="preserve">-flow event due to rainfall in the Murray catchment. The flow was maintained for five days before receding to </w:t>
      </w:r>
      <w:proofErr w:type="spellStart"/>
      <w:r w:rsidRPr="000757B4">
        <w:t>baseflows</w:t>
      </w:r>
      <w:proofErr w:type="spellEnd"/>
      <w:r w:rsidRPr="000757B4">
        <w:t xml:space="preserve"> by 1/3/2012. The delivery of environmental water to the Wakool River from the Wakool escape (providing water from the Mulwala Canal) commenced on 14/2/2012 but was reduced on 1/3/2012 and suspended on 6/3/2102 due to rainfall in the upper</w:t>
      </w:r>
      <w:r>
        <w:t xml:space="preserve"> Murray</w:t>
      </w:r>
      <w:r w:rsidRPr="000757B4">
        <w:t xml:space="preserve"> catchment.</w:t>
      </w:r>
    </w:p>
    <w:p w:rsidR="00033699" w:rsidRDefault="00033699" w:rsidP="003F50DD">
      <w:pPr>
        <w:spacing w:after="240" w:line="240" w:lineRule="auto"/>
        <w:rPr>
          <w:szCs w:val="22"/>
        </w:rPr>
      </w:pPr>
      <w:r w:rsidRPr="003F50DD">
        <w:t xml:space="preserve">The objectives of the February 2012 watering action in </w:t>
      </w:r>
      <w:proofErr w:type="spellStart"/>
      <w:r w:rsidRPr="003F50DD">
        <w:t>Colligen</w:t>
      </w:r>
      <w:proofErr w:type="spellEnd"/>
      <w:r w:rsidRPr="003F50DD">
        <w:t xml:space="preserve"> Creek and the Wakool River were to “provide opportunities for small-bodied fish, such as Murray-Darling Rainbow fish and carp-</w:t>
      </w:r>
      <w:proofErr w:type="spellStart"/>
      <w:r w:rsidRPr="003F50DD">
        <w:t>gudgeons</w:t>
      </w:r>
      <w:proofErr w:type="spellEnd"/>
      <w:r w:rsidRPr="003F50DD">
        <w:t>,</w:t>
      </w:r>
      <w:r w:rsidRPr="000757B4">
        <w:rPr>
          <w:szCs w:val="22"/>
        </w:rPr>
        <w:t xml:space="preserve"> to access important breeding and feeding habitat</w:t>
      </w:r>
      <w:r>
        <w:rPr>
          <w:szCs w:val="22"/>
        </w:rPr>
        <w:t xml:space="preserve"> and improve the condition of the river and riparian ecosystems”</w:t>
      </w:r>
      <w:r w:rsidRPr="000757B4">
        <w:rPr>
          <w:szCs w:val="22"/>
        </w:rPr>
        <w:t xml:space="preserve"> (CEW</w:t>
      </w:r>
      <w:r>
        <w:rPr>
          <w:szCs w:val="22"/>
        </w:rPr>
        <w:t>O</w:t>
      </w:r>
      <w:r w:rsidRPr="000757B4">
        <w:rPr>
          <w:szCs w:val="22"/>
        </w:rPr>
        <w:t xml:space="preserve"> 2012b).</w:t>
      </w:r>
      <w:r>
        <w:rPr>
          <w:szCs w:val="22"/>
        </w:rPr>
        <w:t xml:space="preserve"> </w:t>
      </w:r>
    </w:p>
    <w:p w:rsidR="00033699" w:rsidRPr="003F50DD" w:rsidRDefault="00033699" w:rsidP="003F50DD">
      <w:pPr>
        <w:spacing w:before="240" w:after="240"/>
        <w:rPr>
          <w:b/>
          <w:szCs w:val="22"/>
          <w:lang w:eastAsia="en-AU"/>
        </w:rPr>
      </w:pPr>
      <w:r w:rsidRPr="003F50DD">
        <w:rPr>
          <w:b/>
          <w:szCs w:val="22"/>
          <w:lang w:eastAsia="en-AU"/>
        </w:rPr>
        <w:t>Delivery of environmental water in April to May 2012</w:t>
      </w:r>
    </w:p>
    <w:p w:rsidR="00033699" w:rsidRPr="000757B4" w:rsidRDefault="00033699" w:rsidP="003F50DD">
      <w:pPr>
        <w:spacing w:after="240" w:line="240" w:lineRule="auto"/>
      </w:pPr>
      <w:r>
        <w:t xml:space="preserve">During </w:t>
      </w:r>
      <w:r w:rsidRPr="000757B4">
        <w:t xml:space="preserve">April and May 2012 </w:t>
      </w:r>
      <w:r>
        <w:t>39</w:t>
      </w:r>
      <w:r w:rsidRPr="000757B4">
        <w:t xml:space="preserve">GL of </w:t>
      </w:r>
      <w:r>
        <w:t xml:space="preserve">Commonwealth environmental water </w:t>
      </w:r>
      <w:r w:rsidRPr="000757B4">
        <w:t xml:space="preserve">was delivered into the Edward-Wakool system in conjunction with </w:t>
      </w:r>
      <w:r>
        <w:t>0.3</w:t>
      </w:r>
      <w:r w:rsidRPr="000757B4">
        <w:t xml:space="preserve">GL of water provided by the New South Wales Government. Releases were made </w:t>
      </w:r>
      <w:r>
        <w:t xml:space="preserve">from the Edward </w:t>
      </w:r>
      <w:r w:rsidRPr="000757B4">
        <w:t>and Wakool Escap</w:t>
      </w:r>
      <w:r>
        <w:t xml:space="preserve">es </w:t>
      </w:r>
      <w:r w:rsidRPr="000757B4">
        <w:t xml:space="preserve">from the Mulwala Canal. The environmental water was in addition to unregulated flows that had been delivered into the system via the </w:t>
      </w:r>
      <w:r>
        <w:t xml:space="preserve">Edward, Wakool and </w:t>
      </w:r>
      <w:proofErr w:type="spellStart"/>
      <w:r>
        <w:t>Yallakool</w:t>
      </w:r>
      <w:proofErr w:type="spellEnd"/>
      <w:r>
        <w:t xml:space="preserve"> irrigation </w:t>
      </w:r>
      <w:r w:rsidRPr="000757B4">
        <w:t>escapes.</w:t>
      </w:r>
    </w:p>
    <w:p w:rsidR="00033699" w:rsidRDefault="00033699" w:rsidP="003F50DD">
      <w:pPr>
        <w:spacing w:after="240" w:line="240" w:lineRule="auto"/>
      </w:pPr>
      <w:r w:rsidRPr="003F50DD">
        <w:t xml:space="preserve">The objective of the April to May 2012 environmental watering action in the Edward-Wakool system was to “provide and maintain refuge habitats for remnant fish populations, particularly Murray cod, from </w:t>
      </w:r>
      <w:hyperlink r:id="rId14" w:history="1">
        <w:r w:rsidRPr="003F50DD">
          <w:t xml:space="preserve">hypoxic </w:t>
        </w:r>
        <w:proofErr w:type="spellStart"/>
        <w:r w:rsidRPr="003F50DD">
          <w:t>blackwater</w:t>
        </w:r>
        <w:proofErr w:type="spellEnd"/>
      </w:hyperlink>
      <w:r>
        <w:t xml:space="preserve"> (water containing low levels of oxygen)</w:t>
      </w:r>
      <w:r w:rsidRPr="003F50DD">
        <w:t xml:space="preserve"> that can severely impact fish” (CEWO 2012c). </w:t>
      </w:r>
      <w:r>
        <w:t xml:space="preserve">This watering action also contributed to the outcomes of environmental watering in the </w:t>
      </w:r>
      <w:hyperlink r:id="rId15" w:history="1">
        <w:r w:rsidRPr="00C731FD">
          <w:t>mid-Murray River system (refuge habitat and replenishment flows)</w:t>
        </w:r>
      </w:hyperlink>
      <w:r>
        <w:t xml:space="preserve"> (CEWO 2012d).</w:t>
      </w:r>
    </w:p>
    <w:p w:rsidR="00033699" w:rsidRPr="001458D2" w:rsidRDefault="00033699" w:rsidP="003F50DD">
      <w:pPr>
        <w:spacing w:before="240" w:after="240"/>
        <w:rPr>
          <w:b/>
          <w:szCs w:val="22"/>
          <w:lang w:eastAsia="en-AU"/>
        </w:rPr>
      </w:pPr>
      <w:r w:rsidRPr="001458D2">
        <w:rPr>
          <w:b/>
          <w:szCs w:val="22"/>
          <w:lang w:eastAsia="en-AU"/>
        </w:rPr>
        <w:t>Monitoring of responses to environmental watering</w:t>
      </w:r>
    </w:p>
    <w:p w:rsidR="00033699" w:rsidRPr="000757B4" w:rsidRDefault="00033699" w:rsidP="003F50DD">
      <w:pPr>
        <w:spacing w:after="240" w:line="240" w:lineRule="auto"/>
      </w:pPr>
      <w:r w:rsidRPr="003F50DD">
        <w:t xml:space="preserve">Monitoring of ecosystem responses to environmental watering was undertaken in four rivers in the Edward-Wakool system; </w:t>
      </w:r>
      <w:proofErr w:type="spellStart"/>
      <w:r w:rsidRPr="003F50DD">
        <w:t>Colligen</w:t>
      </w:r>
      <w:proofErr w:type="spellEnd"/>
      <w:r w:rsidRPr="003F50DD">
        <w:t xml:space="preserve"> Creek in the northern part of the system, </w:t>
      </w:r>
      <w:r w:rsidRPr="000757B4">
        <w:t xml:space="preserve">Wakool River and </w:t>
      </w:r>
      <w:proofErr w:type="spellStart"/>
      <w:r w:rsidRPr="000757B4">
        <w:t>Yallakool</w:t>
      </w:r>
      <w:proofErr w:type="spellEnd"/>
      <w:r w:rsidRPr="000757B4">
        <w:t xml:space="preserve"> Creek </w:t>
      </w:r>
      <w:r>
        <w:t>in</w:t>
      </w:r>
      <w:r w:rsidRPr="000757B4">
        <w:t xml:space="preserve"> the southern part of the system, and Little </w:t>
      </w:r>
      <w:proofErr w:type="spellStart"/>
      <w:r w:rsidRPr="000757B4">
        <w:t>Merran</w:t>
      </w:r>
      <w:proofErr w:type="spellEnd"/>
      <w:r w:rsidRPr="000757B4">
        <w:t xml:space="preserve"> Creek </w:t>
      </w:r>
      <w:r>
        <w:t>in</w:t>
      </w:r>
      <w:r w:rsidRPr="000757B4">
        <w:t xml:space="preserve"> </w:t>
      </w:r>
      <w:r>
        <w:t xml:space="preserve">the western part of the system. </w:t>
      </w:r>
      <w:r w:rsidRPr="000757B4">
        <w:t xml:space="preserve">Parameters assessed were </w:t>
      </w:r>
      <w:r w:rsidRPr="003F50DD">
        <w:t xml:space="preserve">water quality, organic carbon, phytoplankton, </w:t>
      </w:r>
      <w:proofErr w:type="spellStart"/>
      <w:r w:rsidRPr="003F50DD">
        <w:t>biofilms</w:t>
      </w:r>
      <w:proofErr w:type="spellEnd"/>
      <w:r w:rsidRPr="003F50DD">
        <w:t xml:space="preserve">, whole stream metabolism, leaf-litter breakdown rates, zooplankton, </w:t>
      </w:r>
      <w:proofErr w:type="spellStart"/>
      <w:r w:rsidRPr="003F50DD">
        <w:t>macroinvertebrates</w:t>
      </w:r>
      <w:proofErr w:type="spellEnd"/>
      <w:r w:rsidRPr="003F50DD">
        <w:t xml:space="preserve">, frogs and fish. </w:t>
      </w:r>
      <w:r w:rsidRPr="000757B4">
        <w:t>For</w:t>
      </w:r>
      <w:r>
        <w:t xml:space="preserve"> the majority of the parameters</w:t>
      </w:r>
      <w:r w:rsidRPr="000757B4">
        <w:t xml:space="preserve"> sampling was undertaken monthly between September 2011 and early May 2012. Sampling </w:t>
      </w:r>
      <w:r>
        <w:t xml:space="preserve">of fish larvae </w:t>
      </w:r>
      <w:r w:rsidRPr="000757B4">
        <w:t xml:space="preserve">was undertaken fortnightly between September 2011 and April 2012. Additional sampling of water chemistry was undertaken during the </w:t>
      </w:r>
      <w:proofErr w:type="spellStart"/>
      <w:r w:rsidRPr="000757B4">
        <w:t>blackwater</w:t>
      </w:r>
      <w:proofErr w:type="spellEnd"/>
      <w:r w:rsidRPr="000757B4">
        <w:t xml:space="preserve"> event in autumn 2012. </w:t>
      </w:r>
    </w:p>
    <w:p w:rsidR="00033699" w:rsidRPr="001458D2" w:rsidRDefault="00033699" w:rsidP="00033699">
      <w:pPr>
        <w:spacing w:after="240"/>
        <w:rPr>
          <w:b/>
          <w:szCs w:val="22"/>
          <w:lang w:eastAsia="en-AU"/>
        </w:rPr>
      </w:pPr>
      <w:r>
        <w:rPr>
          <w:b/>
          <w:szCs w:val="22"/>
          <w:lang w:eastAsia="en-AU"/>
        </w:rPr>
        <w:t>H</w:t>
      </w:r>
      <w:r w:rsidRPr="001458D2">
        <w:rPr>
          <w:b/>
          <w:szCs w:val="22"/>
          <w:lang w:eastAsia="en-AU"/>
        </w:rPr>
        <w:t>ypotheses</w:t>
      </w:r>
    </w:p>
    <w:p w:rsidR="00033699" w:rsidRDefault="00033699" w:rsidP="003F50DD">
      <w:pPr>
        <w:spacing w:after="240" w:line="240" w:lineRule="auto"/>
      </w:pPr>
      <w:r w:rsidRPr="003F50DD">
        <w:t xml:space="preserve">Environmental water was delivered on the basis of the two main management objectives: 1) provision of freshes for fish and ecosystem function (November 2011 and February 2012 environmental watering) and 2) provide and maintain refuge habitats for remnant fish populations from </w:t>
      </w:r>
      <w:hyperlink r:id="rId16" w:history="1">
        <w:r w:rsidRPr="003F50DD">
          <w:t xml:space="preserve">hypoxic </w:t>
        </w:r>
        <w:proofErr w:type="spellStart"/>
        <w:r w:rsidRPr="003F50DD">
          <w:t>blackwater</w:t>
        </w:r>
        <w:proofErr w:type="spellEnd"/>
      </w:hyperlink>
      <w:r>
        <w:t xml:space="preserve"> </w:t>
      </w:r>
      <w:r w:rsidRPr="003F50DD">
        <w:t>(April to May 2012 environmental watering). Hypotheses were developed separately for each objective.</w:t>
      </w:r>
    </w:p>
    <w:p w:rsidR="0030583B" w:rsidRDefault="0030583B" w:rsidP="0030583B">
      <w:pPr>
        <w:spacing w:after="0" w:line="240" w:lineRule="auto"/>
        <w:jc w:val="left"/>
        <w:rPr>
          <w:szCs w:val="22"/>
        </w:rPr>
      </w:pPr>
      <w:r>
        <w:rPr>
          <w:szCs w:val="22"/>
        </w:rPr>
        <w:br w:type="page"/>
      </w:r>
    </w:p>
    <w:p w:rsidR="00033699" w:rsidRPr="00C731FD" w:rsidRDefault="00033699" w:rsidP="00033699">
      <w:pPr>
        <w:spacing w:after="120"/>
        <w:rPr>
          <w:i/>
          <w:szCs w:val="22"/>
          <w:u w:val="single"/>
          <w:lang w:eastAsia="en-AU"/>
        </w:rPr>
      </w:pPr>
      <w:r w:rsidRPr="00C731FD">
        <w:rPr>
          <w:i/>
          <w:szCs w:val="22"/>
          <w:u w:val="single"/>
          <w:lang w:eastAsia="en-AU"/>
        </w:rPr>
        <w:lastRenderedPageBreak/>
        <w:t xml:space="preserve">Provision of </w:t>
      </w:r>
      <w:r>
        <w:rPr>
          <w:i/>
          <w:szCs w:val="22"/>
          <w:u w:val="single"/>
          <w:lang w:eastAsia="en-AU"/>
        </w:rPr>
        <w:t>freshes for fish</w:t>
      </w:r>
      <w:r w:rsidRPr="00C731FD">
        <w:rPr>
          <w:i/>
          <w:szCs w:val="22"/>
          <w:u w:val="single"/>
          <w:lang w:eastAsia="en-AU"/>
        </w:rPr>
        <w:t xml:space="preserve"> and ecosystem</w:t>
      </w:r>
      <w:r>
        <w:rPr>
          <w:i/>
          <w:szCs w:val="22"/>
          <w:u w:val="single"/>
          <w:lang w:eastAsia="en-AU"/>
        </w:rPr>
        <w:t xml:space="preserve"> function (November 2011 and February 2012)</w:t>
      </w:r>
      <w:r w:rsidRPr="00C731FD">
        <w:rPr>
          <w:i/>
          <w:szCs w:val="22"/>
          <w:u w:val="single"/>
          <w:lang w:eastAsia="en-AU"/>
        </w:rPr>
        <w:t>:</w:t>
      </w:r>
    </w:p>
    <w:p w:rsidR="00033699" w:rsidRPr="003F50DD" w:rsidRDefault="00033699" w:rsidP="003F50DD">
      <w:pPr>
        <w:pStyle w:val="NormalWeb"/>
        <w:numPr>
          <w:ilvl w:val="0"/>
          <w:numId w:val="9"/>
        </w:numPr>
        <w:spacing w:before="0" w:beforeAutospacing="0" w:after="0" w:afterAutospacing="0"/>
        <w:ind w:left="714" w:hanging="357"/>
        <w:jc w:val="both"/>
        <w:rPr>
          <w:rFonts w:ascii="Calibri" w:eastAsia="Calibri" w:hAnsi="Calibri"/>
          <w:sz w:val="22"/>
          <w:szCs w:val="20"/>
          <w:lang w:eastAsia="en-US"/>
        </w:rPr>
      </w:pPr>
      <w:r w:rsidRPr="003F50DD">
        <w:rPr>
          <w:rFonts w:ascii="Calibri" w:eastAsia="Calibri" w:hAnsi="Calibri"/>
          <w:sz w:val="22"/>
          <w:szCs w:val="20"/>
          <w:lang w:eastAsia="en-US"/>
        </w:rPr>
        <w:t xml:space="preserve">There will be a short-term increase in dissolved organic carbon and particulate organic carbon levels following the in-channel environmental watering, but the environmental watering is not expected to trigger a </w:t>
      </w:r>
      <w:proofErr w:type="spellStart"/>
      <w:r w:rsidRPr="003F50DD">
        <w:rPr>
          <w:rFonts w:ascii="Calibri" w:eastAsia="Calibri" w:hAnsi="Calibri"/>
          <w:sz w:val="22"/>
          <w:szCs w:val="20"/>
          <w:lang w:eastAsia="en-US"/>
        </w:rPr>
        <w:t>blackwater</w:t>
      </w:r>
      <w:proofErr w:type="spellEnd"/>
      <w:r w:rsidRPr="003F50DD">
        <w:rPr>
          <w:rFonts w:ascii="Calibri" w:eastAsia="Calibri" w:hAnsi="Calibri"/>
          <w:sz w:val="22"/>
          <w:szCs w:val="20"/>
          <w:lang w:eastAsia="en-US"/>
        </w:rPr>
        <w:t xml:space="preserve"> event in this system.</w:t>
      </w:r>
    </w:p>
    <w:p w:rsidR="00033699" w:rsidRPr="003F50DD" w:rsidRDefault="00033699" w:rsidP="003F50DD">
      <w:pPr>
        <w:pStyle w:val="NormalWeb"/>
        <w:numPr>
          <w:ilvl w:val="0"/>
          <w:numId w:val="9"/>
        </w:numPr>
        <w:spacing w:before="0" w:beforeAutospacing="0" w:after="0" w:afterAutospacing="0"/>
        <w:ind w:left="714" w:hanging="357"/>
        <w:jc w:val="both"/>
        <w:rPr>
          <w:rFonts w:ascii="Calibri" w:eastAsia="Calibri" w:hAnsi="Calibri"/>
          <w:sz w:val="22"/>
          <w:szCs w:val="20"/>
          <w:lang w:eastAsia="en-US"/>
        </w:rPr>
      </w:pPr>
      <w:r w:rsidRPr="003F50DD">
        <w:rPr>
          <w:rFonts w:ascii="Calibri" w:eastAsia="Calibri" w:hAnsi="Calibri"/>
          <w:sz w:val="22"/>
          <w:szCs w:val="20"/>
          <w:lang w:eastAsia="en-US"/>
        </w:rPr>
        <w:t xml:space="preserve">Following environmental watering, there will be a change in the community composition of algal </w:t>
      </w:r>
      <w:proofErr w:type="spellStart"/>
      <w:r w:rsidRPr="003F50DD">
        <w:rPr>
          <w:rFonts w:ascii="Calibri" w:eastAsia="Calibri" w:hAnsi="Calibri"/>
          <w:sz w:val="22"/>
          <w:szCs w:val="20"/>
          <w:lang w:eastAsia="en-US"/>
        </w:rPr>
        <w:t>biofilms</w:t>
      </w:r>
      <w:proofErr w:type="spellEnd"/>
      <w:r w:rsidRPr="003F50DD">
        <w:rPr>
          <w:rFonts w:ascii="Calibri" w:eastAsia="Calibri" w:hAnsi="Calibri"/>
          <w:sz w:val="22"/>
          <w:szCs w:val="20"/>
          <w:lang w:eastAsia="en-US"/>
        </w:rPr>
        <w:t xml:space="preserve">, with an increase in early </w:t>
      </w:r>
      <w:proofErr w:type="spellStart"/>
      <w:r w:rsidRPr="003F50DD">
        <w:rPr>
          <w:rFonts w:ascii="Calibri" w:eastAsia="Calibri" w:hAnsi="Calibri"/>
          <w:sz w:val="22"/>
          <w:szCs w:val="20"/>
          <w:lang w:eastAsia="en-US"/>
        </w:rPr>
        <w:t>successional</w:t>
      </w:r>
      <w:proofErr w:type="spellEnd"/>
      <w:r w:rsidRPr="003F50DD">
        <w:rPr>
          <w:rFonts w:ascii="Calibri" w:eastAsia="Calibri" w:hAnsi="Calibri"/>
          <w:sz w:val="22"/>
          <w:szCs w:val="20"/>
          <w:lang w:eastAsia="en-US"/>
        </w:rPr>
        <w:t xml:space="preserve"> algal </w:t>
      </w:r>
      <w:proofErr w:type="spellStart"/>
      <w:r w:rsidRPr="003F50DD">
        <w:rPr>
          <w:rFonts w:ascii="Calibri" w:eastAsia="Calibri" w:hAnsi="Calibri"/>
          <w:sz w:val="22"/>
          <w:szCs w:val="20"/>
          <w:lang w:eastAsia="en-US"/>
        </w:rPr>
        <w:t>taxa</w:t>
      </w:r>
      <w:proofErr w:type="spellEnd"/>
      <w:r w:rsidRPr="003F50DD">
        <w:rPr>
          <w:rFonts w:ascii="Calibri" w:eastAsia="Calibri" w:hAnsi="Calibri"/>
          <w:sz w:val="22"/>
          <w:szCs w:val="20"/>
          <w:lang w:eastAsia="en-US"/>
        </w:rPr>
        <w:t xml:space="preserve"> in this river.</w:t>
      </w:r>
    </w:p>
    <w:p w:rsidR="00033699" w:rsidRPr="003F50DD" w:rsidRDefault="00033699" w:rsidP="003F50DD">
      <w:pPr>
        <w:pStyle w:val="NormalWeb"/>
        <w:numPr>
          <w:ilvl w:val="0"/>
          <w:numId w:val="9"/>
        </w:numPr>
        <w:spacing w:before="0" w:beforeAutospacing="0" w:after="0" w:afterAutospacing="0"/>
        <w:ind w:left="714" w:hanging="357"/>
        <w:jc w:val="both"/>
        <w:rPr>
          <w:rFonts w:ascii="Calibri" w:eastAsia="Calibri" w:hAnsi="Calibri"/>
          <w:sz w:val="22"/>
          <w:szCs w:val="20"/>
          <w:lang w:eastAsia="en-US"/>
        </w:rPr>
      </w:pPr>
      <w:r w:rsidRPr="003F50DD">
        <w:rPr>
          <w:rFonts w:ascii="Calibri" w:eastAsia="Calibri" w:hAnsi="Calibri"/>
          <w:sz w:val="22"/>
          <w:szCs w:val="20"/>
          <w:lang w:eastAsia="en-US"/>
        </w:rPr>
        <w:t xml:space="preserve">Increased flow variability due to environmental watering will ensure </w:t>
      </w:r>
      <w:proofErr w:type="spellStart"/>
      <w:r w:rsidRPr="003F50DD">
        <w:rPr>
          <w:rFonts w:ascii="Calibri" w:eastAsia="Calibri" w:hAnsi="Calibri"/>
          <w:sz w:val="22"/>
          <w:szCs w:val="20"/>
          <w:lang w:eastAsia="en-US"/>
        </w:rPr>
        <w:t>biofilm</w:t>
      </w:r>
      <w:proofErr w:type="spellEnd"/>
      <w:r w:rsidRPr="003F50DD">
        <w:rPr>
          <w:rFonts w:ascii="Calibri" w:eastAsia="Calibri" w:hAnsi="Calibri"/>
          <w:sz w:val="22"/>
          <w:szCs w:val="20"/>
          <w:lang w:eastAsia="en-US"/>
        </w:rPr>
        <w:t xml:space="preserve"> organic biomass remains below nuisance levels. </w:t>
      </w:r>
      <w:proofErr w:type="spellStart"/>
      <w:r w:rsidRPr="003F50DD">
        <w:rPr>
          <w:rFonts w:ascii="Calibri" w:eastAsia="Calibri" w:hAnsi="Calibri"/>
          <w:sz w:val="22"/>
          <w:szCs w:val="20"/>
          <w:lang w:eastAsia="en-US"/>
        </w:rPr>
        <w:t>Biofilm</w:t>
      </w:r>
      <w:proofErr w:type="spellEnd"/>
      <w:r w:rsidRPr="003F50DD">
        <w:rPr>
          <w:rFonts w:ascii="Calibri" w:eastAsia="Calibri" w:hAnsi="Calibri"/>
          <w:sz w:val="22"/>
          <w:szCs w:val="20"/>
          <w:lang w:eastAsia="en-US"/>
        </w:rPr>
        <w:t xml:space="preserve"> organic biomass is expected to be highest in rivers with a relatively constant discharge over this period.</w:t>
      </w:r>
    </w:p>
    <w:p w:rsidR="00033699" w:rsidRDefault="00033699" w:rsidP="003F50DD">
      <w:pPr>
        <w:pStyle w:val="NormalWeb"/>
        <w:numPr>
          <w:ilvl w:val="0"/>
          <w:numId w:val="9"/>
        </w:numPr>
        <w:spacing w:before="0" w:beforeAutospacing="0" w:after="0" w:afterAutospacing="0"/>
        <w:ind w:left="714" w:hanging="357"/>
        <w:jc w:val="both"/>
        <w:rPr>
          <w:rFonts w:ascii="Calibri" w:eastAsia="Calibri" w:hAnsi="Calibri"/>
          <w:sz w:val="22"/>
          <w:szCs w:val="20"/>
          <w:lang w:eastAsia="en-US"/>
        </w:rPr>
      </w:pPr>
      <w:r w:rsidRPr="003F50DD">
        <w:rPr>
          <w:rFonts w:ascii="Calibri" w:eastAsia="Calibri" w:hAnsi="Calibri"/>
          <w:sz w:val="22"/>
          <w:szCs w:val="20"/>
          <w:lang w:eastAsia="en-US"/>
        </w:rPr>
        <w:t xml:space="preserve">Increased flow variability due to environmental watering will maintain </w:t>
      </w:r>
      <w:proofErr w:type="spellStart"/>
      <w:r w:rsidRPr="003F50DD">
        <w:rPr>
          <w:rFonts w:ascii="Calibri" w:eastAsia="Calibri" w:hAnsi="Calibri"/>
          <w:sz w:val="22"/>
          <w:szCs w:val="20"/>
          <w:lang w:eastAsia="en-US"/>
        </w:rPr>
        <w:t>macroinvertebrate</w:t>
      </w:r>
      <w:proofErr w:type="spellEnd"/>
      <w:r w:rsidRPr="003F50DD">
        <w:rPr>
          <w:rFonts w:ascii="Calibri" w:eastAsia="Calibri" w:hAnsi="Calibri"/>
          <w:sz w:val="22"/>
          <w:szCs w:val="20"/>
          <w:lang w:eastAsia="en-US"/>
        </w:rPr>
        <w:t xml:space="preserve"> diversity (measured as total family richness) </w:t>
      </w:r>
      <w:proofErr w:type="spellStart"/>
      <w:r w:rsidRPr="003F50DD">
        <w:rPr>
          <w:rFonts w:ascii="Calibri" w:eastAsia="Calibri" w:hAnsi="Calibri"/>
          <w:sz w:val="22"/>
          <w:szCs w:val="20"/>
          <w:lang w:eastAsia="en-US"/>
        </w:rPr>
        <w:t>i</w:t>
      </w:r>
      <w:proofErr w:type="spellEnd"/>
      <w:r w:rsidRPr="003F50DD">
        <w:rPr>
          <w:rFonts w:ascii="Calibri" w:eastAsia="Calibri" w:hAnsi="Calibri"/>
          <w:sz w:val="22"/>
          <w:szCs w:val="20"/>
          <w:lang w:eastAsia="en-US"/>
        </w:rPr>
        <w:t>) via the provision of additional habitat and food resources made available with bank inundation (organic matter) and potential increases in algal primary production and/ or ii) via disturbance which eliminates competitive exclusion in the community by continually allowing less competitive species opportunities to colonise (intermediate disturbance hypothesis, Townsend et al. 1997).</w:t>
      </w:r>
    </w:p>
    <w:p w:rsidR="00033699" w:rsidRPr="003F50DD" w:rsidRDefault="00033699" w:rsidP="003F50DD">
      <w:pPr>
        <w:pStyle w:val="NormalWeb"/>
        <w:numPr>
          <w:ilvl w:val="0"/>
          <w:numId w:val="9"/>
        </w:numPr>
        <w:spacing w:before="0" w:beforeAutospacing="0" w:after="0" w:afterAutospacing="0"/>
        <w:ind w:left="714" w:hanging="357"/>
        <w:jc w:val="both"/>
        <w:rPr>
          <w:rFonts w:ascii="Calibri" w:eastAsia="Calibri" w:hAnsi="Calibri"/>
          <w:sz w:val="22"/>
          <w:szCs w:val="20"/>
          <w:lang w:eastAsia="en-US"/>
        </w:rPr>
      </w:pPr>
      <w:r w:rsidRPr="003F50DD">
        <w:rPr>
          <w:rFonts w:ascii="Calibri" w:eastAsia="Calibri" w:hAnsi="Calibri"/>
          <w:sz w:val="22"/>
          <w:szCs w:val="20"/>
          <w:lang w:eastAsia="en-US"/>
        </w:rPr>
        <w:t xml:space="preserve">Increases in river flow should select for invertebrates that are more flow-dependent, </w:t>
      </w:r>
      <w:proofErr w:type="spellStart"/>
      <w:r w:rsidRPr="003F50DD">
        <w:rPr>
          <w:rFonts w:ascii="Calibri" w:eastAsia="Calibri" w:hAnsi="Calibri"/>
          <w:sz w:val="22"/>
          <w:szCs w:val="20"/>
          <w:lang w:eastAsia="en-US"/>
        </w:rPr>
        <w:t>rheophilic</w:t>
      </w:r>
      <w:proofErr w:type="spellEnd"/>
      <w:r w:rsidRPr="003F50DD">
        <w:rPr>
          <w:rFonts w:ascii="Calibri" w:eastAsia="Calibri" w:hAnsi="Calibri"/>
          <w:sz w:val="22"/>
          <w:szCs w:val="20"/>
          <w:lang w:eastAsia="en-US"/>
        </w:rPr>
        <w:t>, primarily through changes in habitat area and availability (</w:t>
      </w:r>
      <w:proofErr w:type="spellStart"/>
      <w:r w:rsidRPr="003F50DD">
        <w:rPr>
          <w:rFonts w:ascii="Calibri" w:eastAsia="Calibri" w:hAnsi="Calibri"/>
          <w:sz w:val="22"/>
          <w:szCs w:val="20"/>
          <w:lang w:eastAsia="en-US"/>
        </w:rPr>
        <w:t>Brunke</w:t>
      </w:r>
      <w:proofErr w:type="spellEnd"/>
      <w:r w:rsidRPr="003F50DD">
        <w:rPr>
          <w:rFonts w:ascii="Calibri" w:eastAsia="Calibri" w:hAnsi="Calibri"/>
          <w:sz w:val="22"/>
          <w:szCs w:val="20"/>
          <w:lang w:eastAsia="en-US"/>
        </w:rPr>
        <w:t xml:space="preserve"> et al. 2001; Reich et al. 2010).</w:t>
      </w:r>
    </w:p>
    <w:p w:rsidR="00033699" w:rsidRPr="003F50DD" w:rsidRDefault="00033699" w:rsidP="003F50DD">
      <w:pPr>
        <w:pStyle w:val="NormalWeb"/>
        <w:numPr>
          <w:ilvl w:val="0"/>
          <w:numId w:val="9"/>
        </w:numPr>
        <w:spacing w:before="0" w:beforeAutospacing="0" w:after="0" w:afterAutospacing="0"/>
        <w:ind w:left="714" w:hanging="357"/>
        <w:jc w:val="both"/>
        <w:rPr>
          <w:rFonts w:ascii="Calibri" w:eastAsia="Calibri" w:hAnsi="Calibri"/>
          <w:sz w:val="22"/>
          <w:szCs w:val="20"/>
          <w:lang w:eastAsia="en-US"/>
        </w:rPr>
      </w:pPr>
      <w:r w:rsidRPr="003F50DD">
        <w:rPr>
          <w:rFonts w:ascii="Calibri" w:eastAsia="Calibri" w:hAnsi="Calibri"/>
          <w:sz w:val="22"/>
          <w:szCs w:val="20"/>
          <w:lang w:eastAsia="en-US"/>
        </w:rPr>
        <w:t xml:space="preserve">Increases in river flow should select for </w:t>
      </w:r>
      <w:proofErr w:type="spellStart"/>
      <w:r w:rsidRPr="003F50DD">
        <w:rPr>
          <w:rFonts w:ascii="Calibri" w:eastAsia="Calibri" w:hAnsi="Calibri"/>
          <w:sz w:val="22"/>
          <w:szCs w:val="20"/>
          <w:lang w:eastAsia="en-US"/>
        </w:rPr>
        <w:t>macroinvertebrate</w:t>
      </w:r>
      <w:proofErr w:type="spellEnd"/>
      <w:r w:rsidRPr="003F50DD">
        <w:rPr>
          <w:rFonts w:ascii="Calibri" w:eastAsia="Calibri" w:hAnsi="Calibri"/>
          <w:sz w:val="22"/>
          <w:szCs w:val="20"/>
          <w:lang w:eastAsia="en-US"/>
        </w:rPr>
        <w:t xml:space="preserve"> feeding groups such as filterers that utilise pelagic food sources which potentially increase with flow. In contrast, decreases in river flow should select for </w:t>
      </w:r>
      <w:proofErr w:type="spellStart"/>
      <w:r w:rsidRPr="003F50DD">
        <w:rPr>
          <w:rFonts w:ascii="Calibri" w:eastAsia="Calibri" w:hAnsi="Calibri"/>
          <w:sz w:val="22"/>
          <w:szCs w:val="20"/>
          <w:lang w:eastAsia="en-US"/>
        </w:rPr>
        <w:t>macroinvertebrate</w:t>
      </w:r>
      <w:proofErr w:type="spellEnd"/>
      <w:r w:rsidRPr="003F50DD">
        <w:rPr>
          <w:rFonts w:ascii="Calibri" w:eastAsia="Calibri" w:hAnsi="Calibri"/>
          <w:sz w:val="22"/>
          <w:szCs w:val="20"/>
          <w:lang w:eastAsia="en-US"/>
        </w:rPr>
        <w:t xml:space="preserve"> feeding groups such as collector-gatherers, scrapers or shredders that feed predominately on benthic food sources.</w:t>
      </w:r>
    </w:p>
    <w:p w:rsidR="00033699" w:rsidRPr="003F50DD" w:rsidRDefault="00033699" w:rsidP="003F50DD">
      <w:pPr>
        <w:pStyle w:val="NormalWeb"/>
        <w:numPr>
          <w:ilvl w:val="0"/>
          <w:numId w:val="9"/>
        </w:numPr>
        <w:spacing w:before="0" w:beforeAutospacing="0" w:after="0" w:afterAutospacing="0"/>
        <w:ind w:left="714" w:hanging="357"/>
        <w:jc w:val="both"/>
        <w:rPr>
          <w:rFonts w:ascii="Calibri" w:eastAsia="Calibri" w:hAnsi="Calibri"/>
          <w:sz w:val="22"/>
          <w:szCs w:val="20"/>
          <w:lang w:eastAsia="en-US"/>
        </w:rPr>
      </w:pPr>
      <w:r w:rsidRPr="003F50DD">
        <w:rPr>
          <w:rFonts w:ascii="Calibri" w:eastAsia="Calibri" w:hAnsi="Calibri"/>
          <w:sz w:val="22"/>
          <w:szCs w:val="20"/>
          <w:lang w:eastAsia="en-US"/>
        </w:rPr>
        <w:t xml:space="preserve">Frog abundance (number of individuals calling and observed) will increase during the environmental watering in </w:t>
      </w:r>
      <w:proofErr w:type="spellStart"/>
      <w:r w:rsidRPr="003F50DD">
        <w:rPr>
          <w:rFonts w:ascii="Calibri" w:eastAsia="Calibri" w:hAnsi="Calibri"/>
          <w:sz w:val="22"/>
          <w:szCs w:val="20"/>
          <w:lang w:eastAsia="en-US"/>
        </w:rPr>
        <w:t>Colligen</w:t>
      </w:r>
      <w:proofErr w:type="spellEnd"/>
      <w:r w:rsidRPr="003F50DD">
        <w:rPr>
          <w:rFonts w:ascii="Calibri" w:eastAsia="Calibri" w:hAnsi="Calibri"/>
          <w:sz w:val="22"/>
          <w:szCs w:val="20"/>
          <w:lang w:eastAsia="en-US"/>
        </w:rPr>
        <w:t xml:space="preserve"> Creek in February 2012</w:t>
      </w:r>
    </w:p>
    <w:p w:rsidR="00033699" w:rsidRPr="003F50DD" w:rsidRDefault="00033699" w:rsidP="003F50DD">
      <w:pPr>
        <w:pStyle w:val="NormalWeb"/>
        <w:numPr>
          <w:ilvl w:val="0"/>
          <w:numId w:val="9"/>
        </w:numPr>
        <w:spacing w:before="0" w:beforeAutospacing="0" w:after="0" w:afterAutospacing="0"/>
        <w:ind w:left="714" w:hanging="357"/>
        <w:jc w:val="both"/>
        <w:rPr>
          <w:rFonts w:ascii="Calibri" w:eastAsia="Calibri" w:hAnsi="Calibri"/>
          <w:sz w:val="22"/>
          <w:szCs w:val="20"/>
          <w:lang w:eastAsia="en-US"/>
        </w:rPr>
      </w:pPr>
      <w:r w:rsidRPr="003F50DD">
        <w:rPr>
          <w:rFonts w:ascii="Calibri" w:eastAsia="Calibri" w:hAnsi="Calibri"/>
          <w:sz w:val="22"/>
          <w:szCs w:val="20"/>
          <w:lang w:eastAsia="en-US"/>
        </w:rPr>
        <w:t>Spawning of some native fish species, as measured by the abundance of larvae, will increase following the environmental watering.</w:t>
      </w:r>
    </w:p>
    <w:p w:rsidR="00033699" w:rsidRPr="00D61311" w:rsidRDefault="00033699" w:rsidP="005D2C39">
      <w:pPr>
        <w:spacing w:before="240" w:after="120" w:line="240" w:lineRule="auto"/>
        <w:rPr>
          <w:i/>
          <w:szCs w:val="22"/>
          <w:u w:val="single"/>
          <w:lang w:eastAsia="en-AU"/>
        </w:rPr>
      </w:pPr>
      <w:r>
        <w:rPr>
          <w:i/>
          <w:szCs w:val="22"/>
          <w:u w:val="single"/>
          <w:lang w:eastAsia="en-AU"/>
        </w:rPr>
        <w:t>Environmental watering during</w:t>
      </w:r>
      <w:r w:rsidRPr="00D61311">
        <w:rPr>
          <w:i/>
          <w:szCs w:val="22"/>
          <w:u w:val="single"/>
          <w:lang w:eastAsia="en-AU"/>
        </w:rPr>
        <w:t xml:space="preserve"> </w:t>
      </w:r>
      <w:proofErr w:type="spellStart"/>
      <w:r w:rsidRPr="00353138">
        <w:rPr>
          <w:i/>
          <w:szCs w:val="22"/>
          <w:u w:val="single"/>
          <w:lang w:eastAsia="en-AU"/>
        </w:rPr>
        <w:t>blackwater</w:t>
      </w:r>
      <w:proofErr w:type="spellEnd"/>
      <w:r w:rsidRPr="00353138">
        <w:rPr>
          <w:i/>
          <w:szCs w:val="22"/>
          <w:u w:val="single"/>
          <w:lang w:eastAsia="en-AU"/>
        </w:rPr>
        <w:t xml:space="preserve"> </w:t>
      </w:r>
      <w:r>
        <w:rPr>
          <w:i/>
          <w:szCs w:val="22"/>
          <w:u w:val="single"/>
          <w:lang w:eastAsia="en-AU"/>
        </w:rPr>
        <w:t xml:space="preserve">events </w:t>
      </w:r>
      <w:r w:rsidRPr="00353138">
        <w:rPr>
          <w:i/>
          <w:szCs w:val="22"/>
          <w:u w:val="single"/>
          <w:lang w:eastAsia="en-AU"/>
        </w:rPr>
        <w:t>to provide and maintain refuge habitats</w:t>
      </w:r>
      <w:r>
        <w:rPr>
          <w:i/>
          <w:szCs w:val="22"/>
          <w:u w:val="single"/>
          <w:lang w:eastAsia="en-AU"/>
        </w:rPr>
        <w:t xml:space="preserve"> (April to May 2012)</w:t>
      </w:r>
      <w:r w:rsidRPr="00353138">
        <w:rPr>
          <w:i/>
          <w:szCs w:val="22"/>
          <w:u w:val="single"/>
          <w:lang w:eastAsia="en-AU"/>
        </w:rPr>
        <w:t>:</w:t>
      </w:r>
    </w:p>
    <w:p w:rsidR="00033699" w:rsidRPr="005D2C39" w:rsidRDefault="00033699" w:rsidP="005D2C39">
      <w:pPr>
        <w:pStyle w:val="NormalWeb"/>
        <w:numPr>
          <w:ilvl w:val="0"/>
          <w:numId w:val="9"/>
        </w:numPr>
        <w:spacing w:before="0" w:beforeAutospacing="0" w:after="0" w:afterAutospacing="0"/>
        <w:ind w:left="714" w:hanging="357"/>
        <w:jc w:val="both"/>
        <w:rPr>
          <w:rFonts w:ascii="Calibri" w:eastAsia="Calibri" w:hAnsi="Calibri"/>
          <w:sz w:val="22"/>
          <w:szCs w:val="20"/>
          <w:lang w:eastAsia="en-US"/>
        </w:rPr>
      </w:pPr>
      <w:r w:rsidRPr="005D2C39">
        <w:rPr>
          <w:rFonts w:ascii="Calibri" w:eastAsia="Calibri" w:hAnsi="Calibri"/>
          <w:sz w:val="22"/>
          <w:szCs w:val="20"/>
          <w:lang w:eastAsia="en-US"/>
        </w:rPr>
        <w:t xml:space="preserve">Release of environmental water from irrigation escapes will provide localised </w:t>
      </w:r>
      <w:proofErr w:type="spellStart"/>
      <w:r w:rsidRPr="005D2C39">
        <w:rPr>
          <w:rFonts w:ascii="Calibri" w:eastAsia="Calibri" w:hAnsi="Calibri"/>
          <w:sz w:val="22"/>
          <w:szCs w:val="20"/>
          <w:lang w:eastAsia="en-US"/>
        </w:rPr>
        <w:t>refugia</w:t>
      </w:r>
      <w:proofErr w:type="spellEnd"/>
      <w:r w:rsidRPr="005D2C39">
        <w:rPr>
          <w:rFonts w:ascii="Calibri" w:eastAsia="Calibri" w:hAnsi="Calibri"/>
          <w:sz w:val="22"/>
          <w:szCs w:val="20"/>
          <w:lang w:eastAsia="en-US"/>
        </w:rPr>
        <w:t xml:space="preserve"> with higher levels of dissolved oxygen and lower levels of organic carbon.</w:t>
      </w:r>
    </w:p>
    <w:p w:rsidR="00033699" w:rsidRPr="00353138" w:rsidRDefault="00033699" w:rsidP="005D2C39">
      <w:pPr>
        <w:spacing w:before="240" w:after="240"/>
        <w:rPr>
          <w:b/>
          <w:szCs w:val="22"/>
          <w:lang w:eastAsia="en-AU"/>
        </w:rPr>
      </w:pPr>
      <w:r w:rsidRPr="00353138">
        <w:rPr>
          <w:b/>
          <w:szCs w:val="22"/>
          <w:lang w:eastAsia="en-AU"/>
        </w:rPr>
        <w:t>Ecosystem responses to environmental watering</w:t>
      </w:r>
    </w:p>
    <w:p w:rsidR="00033699" w:rsidRPr="00353138" w:rsidRDefault="00033699" w:rsidP="00033699">
      <w:pPr>
        <w:rPr>
          <w:i/>
          <w:szCs w:val="22"/>
          <w:u w:val="single"/>
          <w:lang w:eastAsia="en-AU"/>
        </w:rPr>
      </w:pPr>
      <w:r w:rsidRPr="00353138">
        <w:rPr>
          <w:i/>
          <w:szCs w:val="22"/>
          <w:u w:val="single"/>
          <w:lang w:eastAsia="en-AU"/>
        </w:rPr>
        <w:t xml:space="preserve">Provision of </w:t>
      </w:r>
      <w:r>
        <w:rPr>
          <w:i/>
          <w:szCs w:val="22"/>
          <w:u w:val="single"/>
          <w:lang w:eastAsia="en-AU"/>
        </w:rPr>
        <w:t>freshes</w:t>
      </w:r>
      <w:r w:rsidRPr="00353138">
        <w:rPr>
          <w:i/>
          <w:szCs w:val="22"/>
          <w:u w:val="single"/>
          <w:lang w:eastAsia="en-AU"/>
        </w:rPr>
        <w:t xml:space="preserve"> for fish and ecosystem function</w:t>
      </w:r>
      <w:r>
        <w:rPr>
          <w:i/>
          <w:szCs w:val="22"/>
          <w:u w:val="single"/>
          <w:lang w:eastAsia="en-AU"/>
        </w:rPr>
        <w:t xml:space="preserve"> (November 2011 and February 2012)</w:t>
      </w:r>
      <w:r w:rsidRPr="00353138">
        <w:rPr>
          <w:i/>
          <w:szCs w:val="22"/>
          <w:u w:val="single"/>
          <w:lang w:eastAsia="en-AU"/>
        </w:rPr>
        <w:t>:</w:t>
      </w:r>
    </w:p>
    <w:p w:rsidR="00033699" w:rsidRPr="00B51DD6" w:rsidRDefault="00033699" w:rsidP="005D2C39">
      <w:pPr>
        <w:pStyle w:val="ListParagraph"/>
        <w:numPr>
          <w:ilvl w:val="0"/>
          <w:numId w:val="8"/>
        </w:numPr>
        <w:spacing w:after="0" w:line="240" w:lineRule="auto"/>
        <w:contextualSpacing/>
        <w:rPr>
          <w:lang w:val="en-US"/>
        </w:rPr>
      </w:pPr>
      <w:r w:rsidRPr="00D61311">
        <w:rPr>
          <w:b/>
          <w:lang w:val="en-US"/>
        </w:rPr>
        <w:t>Very low dissolved oxygen conc</w:t>
      </w:r>
      <w:r>
        <w:rPr>
          <w:b/>
          <w:lang w:val="en-US"/>
        </w:rPr>
        <w:t xml:space="preserve">entrations were not observed </w:t>
      </w:r>
      <w:r w:rsidRPr="00D61311">
        <w:rPr>
          <w:b/>
          <w:lang w:val="en-US"/>
        </w:rPr>
        <w:t xml:space="preserve">during or after </w:t>
      </w:r>
      <w:r>
        <w:rPr>
          <w:b/>
          <w:lang w:val="en-US"/>
        </w:rPr>
        <w:t>environmental watering</w:t>
      </w:r>
      <w:r w:rsidRPr="00D61311">
        <w:rPr>
          <w:b/>
          <w:lang w:val="en-US"/>
        </w:rPr>
        <w:t xml:space="preserve"> events</w:t>
      </w:r>
      <w:r w:rsidRPr="00EA62DD">
        <w:t xml:space="preserve"> </w:t>
      </w:r>
      <w:r w:rsidRPr="00EA62DD">
        <w:rPr>
          <w:b/>
        </w:rPr>
        <w:t xml:space="preserve">in </w:t>
      </w:r>
      <w:proofErr w:type="spellStart"/>
      <w:r w:rsidRPr="00EA62DD">
        <w:rPr>
          <w:b/>
        </w:rPr>
        <w:t>Colligen</w:t>
      </w:r>
      <w:proofErr w:type="spellEnd"/>
      <w:r w:rsidRPr="00EA62DD">
        <w:rPr>
          <w:b/>
        </w:rPr>
        <w:t xml:space="preserve"> Creek and the Wakool River</w:t>
      </w:r>
      <w:r w:rsidRPr="00D61311">
        <w:rPr>
          <w:b/>
          <w:lang w:val="en-US"/>
        </w:rPr>
        <w:t>.</w:t>
      </w:r>
      <w:r w:rsidRPr="00D61311">
        <w:rPr>
          <w:lang w:val="en-US"/>
        </w:rPr>
        <w:t xml:space="preserve"> </w:t>
      </w:r>
      <w:r w:rsidRPr="00D61311">
        <w:t>Dissolved oxygen concentrations in all river reaches were above the 4mg/L threshold of concern for aquatic health between September 2011 and February 2012</w:t>
      </w:r>
      <w:r>
        <w:t xml:space="preserve">. </w:t>
      </w:r>
      <w:r w:rsidRPr="00D61311">
        <w:rPr>
          <w:lang w:val="en-US"/>
        </w:rPr>
        <w:t>However, it is important to note that none of the events monitored involved water inundating the flood plain (where low DO and ‘</w:t>
      </w:r>
      <w:proofErr w:type="spellStart"/>
      <w:r w:rsidRPr="00D61311">
        <w:rPr>
          <w:lang w:val="en-US"/>
        </w:rPr>
        <w:t>blackwater</w:t>
      </w:r>
      <w:proofErr w:type="spellEnd"/>
      <w:r w:rsidRPr="00D61311">
        <w:rPr>
          <w:lang w:val="en-US"/>
        </w:rPr>
        <w:t>’ events can occur).</w:t>
      </w:r>
    </w:p>
    <w:p w:rsidR="00033699" w:rsidRDefault="00033699" w:rsidP="005D2C39">
      <w:pPr>
        <w:pStyle w:val="ListParagraph"/>
        <w:numPr>
          <w:ilvl w:val="0"/>
          <w:numId w:val="8"/>
        </w:numPr>
        <w:spacing w:after="0" w:line="240" w:lineRule="auto"/>
        <w:contextualSpacing/>
        <w:jc w:val="left"/>
      </w:pPr>
      <w:r>
        <w:rPr>
          <w:b/>
        </w:rPr>
        <w:t>E</w:t>
      </w:r>
      <w:r w:rsidRPr="00B51DD6">
        <w:rPr>
          <w:b/>
        </w:rPr>
        <w:t>nvironmental water</w:t>
      </w:r>
      <w:r>
        <w:rPr>
          <w:b/>
        </w:rPr>
        <w:t>ing in</w:t>
      </w:r>
      <w:r w:rsidRPr="00B51DD6">
        <w:rPr>
          <w:b/>
        </w:rPr>
        <w:t xml:space="preserve"> </w:t>
      </w:r>
      <w:proofErr w:type="spellStart"/>
      <w:r w:rsidRPr="00B51DD6">
        <w:rPr>
          <w:b/>
        </w:rPr>
        <w:t>Colligen</w:t>
      </w:r>
      <w:proofErr w:type="spellEnd"/>
      <w:r w:rsidRPr="00B51DD6">
        <w:rPr>
          <w:b/>
        </w:rPr>
        <w:t xml:space="preserve"> Creek and the Wakool River in February 2012 did not result in substantial changes to organic matter type or quantity</w:t>
      </w:r>
      <w:r>
        <w:t xml:space="preserve">. </w:t>
      </w:r>
      <w:r w:rsidRPr="00D61311">
        <w:t xml:space="preserve">There was no evidence of </w:t>
      </w:r>
      <w:proofErr w:type="spellStart"/>
      <w:r w:rsidRPr="00D61311">
        <w:t>blackwater</w:t>
      </w:r>
      <w:proofErr w:type="spellEnd"/>
      <w:r w:rsidRPr="00D61311">
        <w:t xml:space="preserve"> associated with the environmental watering, as dissolved organic matter profiles were very similar </w:t>
      </w:r>
      <w:r>
        <w:t>in</w:t>
      </w:r>
      <w:r w:rsidRPr="00D61311">
        <w:t xml:space="preserve"> </w:t>
      </w:r>
      <w:r>
        <w:t>all</w:t>
      </w:r>
      <w:r w:rsidRPr="00D61311">
        <w:t xml:space="preserve"> four rivers </w:t>
      </w:r>
      <w:r>
        <w:t>from</w:t>
      </w:r>
      <w:r w:rsidRPr="00D61311">
        <w:t xml:space="preserve"> </w:t>
      </w:r>
      <w:r>
        <w:t>October 2011 to January 2012</w:t>
      </w:r>
      <w:r w:rsidRPr="00D61311">
        <w:t>.</w:t>
      </w:r>
    </w:p>
    <w:p w:rsidR="0030583B" w:rsidRDefault="00033699" w:rsidP="005D2C39">
      <w:pPr>
        <w:pStyle w:val="ListParagraph"/>
        <w:numPr>
          <w:ilvl w:val="0"/>
          <w:numId w:val="8"/>
        </w:numPr>
        <w:spacing w:after="0" w:line="240" w:lineRule="auto"/>
      </w:pPr>
      <w:r w:rsidRPr="00D61311">
        <w:rPr>
          <w:b/>
        </w:rPr>
        <w:t>There was a</w:t>
      </w:r>
      <w:r w:rsidRPr="00D61311">
        <w:t xml:space="preserve"> </w:t>
      </w:r>
      <w:r w:rsidRPr="00D61311">
        <w:rPr>
          <w:b/>
        </w:rPr>
        <w:t>positive response of phytoplankton biomass (water column chlorophyll-</w:t>
      </w:r>
      <w:proofErr w:type="gramStart"/>
      <w:r w:rsidRPr="00D61311">
        <w:rPr>
          <w:b/>
          <w:i/>
        </w:rPr>
        <w:t>a</w:t>
      </w:r>
      <w:r w:rsidRPr="00D61311">
        <w:rPr>
          <w:b/>
        </w:rPr>
        <w:t xml:space="preserve"> concentrations</w:t>
      </w:r>
      <w:proofErr w:type="gramEnd"/>
      <w:r w:rsidRPr="00D61311">
        <w:rPr>
          <w:b/>
        </w:rPr>
        <w:t>) to environmental watering</w:t>
      </w:r>
      <w:r w:rsidRPr="00D61311">
        <w:t>. Chlorophyll-</w:t>
      </w:r>
      <w:r w:rsidRPr="00D61311">
        <w:rPr>
          <w:i/>
        </w:rPr>
        <w:t>a</w:t>
      </w:r>
      <w:r w:rsidRPr="00D61311">
        <w:t xml:space="preserve"> concentrations in water from </w:t>
      </w:r>
      <w:proofErr w:type="spellStart"/>
      <w:r w:rsidRPr="00D61311">
        <w:t>Colligen</w:t>
      </w:r>
      <w:proofErr w:type="spellEnd"/>
      <w:r w:rsidRPr="00D61311">
        <w:t xml:space="preserve"> Creek </w:t>
      </w:r>
      <w:r>
        <w:t>were maintained</w:t>
      </w:r>
      <w:r w:rsidRPr="00D61311">
        <w:t xml:space="preserve"> after the environmental watering</w:t>
      </w:r>
      <w:r>
        <w:t xml:space="preserve"> in November 2011</w:t>
      </w:r>
      <w:r w:rsidRPr="00D61311">
        <w:t>, whereas over the same period chlorophyll-</w:t>
      </w:r>
      <w:r w:rsidRPr="00D61311">
        <w:rPr>
          <w:i/>
        </w:rPr>
        <w:t>a</w:t>
      </w:r>
      <w:r>
        <w:t xml:space="preserve"> levels reduced in </w:t>
      </w:r>
      <w:proofErr w:type="spellStart"/>
      <w:r>
        <w:t>Yallakool</w:t>
      </w:r>
      <w:proofErr w:type="spellEnd"/>
      <w:r>
        <w:t xml:space="preserve"> Creek</w:t>
      </w:r>
      <w:r w:rsidRPr="00D61311">
        <w:t xml:space="preserve">, Wakool River and Little </w:t>
      </w:r>
      <w:proofErr w:type="spellStart"/>
      <w:r w:rsidRPr="00D61311">
        <w:t>Merran</w:t>
      </w:r>
      <w:proofErr w:type="spellEnd"/>
      <w:r w:rsidRPr="00D61311">
        <w:t xml:space="preserve"> Creek that did not receive environmental water.</w:t>
      </w:r>
    </w:p>
    <w:p w:rsidR="0030583B" w:rsidRDefault="0030583B">
      <w:pPr>
        <w:spacing w:after="0" w:line="240" w:lineRule="auto"/>
        <w:jc w:val="left"/>
      </w:pPr>
      <w:r>
        <w:br w:type="page"/>
      </w:r>
    </w:p>
    <w:p w:rsidR="00033699" w:rsidRPr="00D61311" w:rsidRDefault="00033699" w:rsidP="005D2C39">
      <w:pPr>
        <w:pStyle w:val="ListParagraph"/>
        <w:numPr>
          <w:ilvl w:val="0"/>
          <w:numId w:val="8"/>
        </w:numPr>
        <w:spacing w:after="0" w:line="240" w:lineRule="auto"/>
        <w:contextualSpacing/>
        <w:rPr>
          <w:lang w:val="en-US"/>
        </w:rPr>
      </w:pPr>
      <w:r w:rsidRPr="00D61311">
        <w:rPr>
          <w:b/>
          <w:lang w:val="en-US"/>
        </w:rPr>
        <w:lastRenderedPageBreak/>
        <w:t>Rates of the key ecosystem processes, primary production and ecosystem respiration</w:t>
      </w:r>
      <w:r>
        <w:rPr>
          <w:b/>
          <w:lang w:val="en-US"/>
        </w:rPr>
        <w:t>,</w:t>
      </w:r>
      <w:r w:rsidRPr="00D61311">
        <w:rPr>
          <w:b/>
          <w:lang w:val="en-US"/>
        </w:rPr>
        <w:t xml:space="preserve"> were not greatly changed after the </w:t>
      </w:r>
      <w:r>
        <w:rPr>
          <w:b/>
          <w:lang w:val="en-US"/>
        </w:rPr>
        <w:t>environmental watering</w:t>
      </w:r>
      <w:r w:rsidRPr="00D61311">
        <w:rPr>
          <w:b/>
          <w:lang w:val="en-US"/>
        </w:rPr>
        <w:t>.</w:t>
      </w:r>
      <w:r w:rsidRPr="00D61311">
        <w:rPr>
          <w:lang w:val="en-US"/>
        </w:rPr>
        <w:t xml:space="preserve"> The major reason is that low nutrient concentrations </w:t>
      </w:r>
      <w:r>
        <w:rPr>
          <w:lang w:val="en-US"/>
        </w:rPr>
        <w:t xml:space="preserve">in the water </w:t>
      </w:r>
      <w:r w:rsidRPr="00D61311">
        <w:rPr>
          <w:lang w:val="en-US"/>
        </w:rPr>
        <w:t>constrain primary production. Rates of primary p</w:t>
      </w:r>
      <w:r>
        <w:rPr>
          <w:lang w:val="en-US"/>
        </w:rPr>
        <w:t xml:space="preserve">roduction </w:t>
      </w:r>
      <w:r w:rsidRPr="00D61311">
        <w:rPr>
          <w:lang w:val="en-US"/>
        </w:rPr>
        <w:t xml:space="preserve">were greatly reduced during </w:t>
      </w:r>
      <w:r>
        <w:rPr>
          <w:lang w:val="en-US"/>
        </w:rPr>
        <w:t>environmental watering</w:t>
      </w:r>
      <w:r w:rsidRPr="00D61311">
        <w:rPr>
          <w:lang w:val="en-US"/>
        </w:rPr>
        <w:t>.</w:t>
      </w:r>
      <w:r>
        <w:rPr>
          <w:lang w:val="en-US"/>
        </w:rPr>
        <w:t xml:space="preserve"> This is because p</w:t>
      </w:r>
      <w:r w:rsidRPr="00D61311">
        <w:rPr>
          <w:lang w:val="en-US"/>
        </w:rPr>
        <w:t>rimary production is also controlled by the turbi</w:t>
      </w:r>
      <w:r>
        <w:rPr>
          <w:lang w:val="en-US"/>
        </w:rPr>
        <w:t xml:space="preserve">dity of the water, which </w:t>
      </w:r>
      <w:r w:rsidRPr="00D61311">
        <w:rPr>
          <w:lang w:val="en-US"/>
        </w:rPr>
        <w:t xml:space="preserve">is a natural property of the fine soils in the catchment. </w:t>
      </w:r>
    </w:p>
    <w:p w:rsidR="00033699" w:rsidRDefault="00033699" w:rsidP="005D2C39">
      <w:pPr>
        <w:pStyle w:val="ListParagraph"/>
        <w:numPr>
          <w:ilvl w:val="0"/>
          <w:numId w:val="8"/>
        </w:numPr>
        <w:spacing w:after="0" w:line="240" w:lineRule="auto"/>
        <w:contextualSpacing/>
        <w:rPr>
          <w:lang w:val="en-US"/>
        </w:rPr>
      </w:pPr>
      <w:r>
        <w:rPr>
          <w:b/>
          <w:lang w:val="en-US"/>
        </w:rPr>
        <w:t>N</w:t>
      </w:r>
      <w:r w:rsidRPr="00D61311">
        <w:rPr>
          <w:b/>
          <w:lang w:val="en-US"/>
        </w:rPr>
        <w:t xml:space="preserve">itrogen and phosphorus concentrations in these </w:t>
      </w:r>
      <w:r>
        <w:rPr>
          <w:b/>
          <w:lang w:val="en-US"/>
        </w:rPr>
        <w:t>rivers</w:t>
      </w:r>
      <w:r w:rsidRPr="00D61311">
        <w:rPr>
          <w:b/>
          <w:lang w:val="en-US"/>
        </w:rPr>
        <w:t xml:space="preserve"> </w:t>
      </w:r>
      <w:r>
        <w:rPr>
          <w:b/>
          <w:lang w:val="en-US"/>
        </w:rPr>
        <w:t xml:space="preserve">were </w:t>
      </w:r>
      <w:r w:rsidRPr="00D61311">
        <w:rPr>
          <w:b/>
          <w:lang w:val="en-US"/>
        </w:rPr>
        <w:t>well below the level where excessive algal growth (and bloom formation) is likely.</w:t>
      </w:r>
      <w:r w:rsidRPr="00D61311">
        <w:rPr>
          <w:lang w:val="en-US"/>
        </w:rPr>
        <w:t xml:space="preserve"> </w:t>
      </w:r>
      <w:r w:rsidRPr="00AB51BA">
        <w:rPr>
          <w:lang w:val="en-US"/>
        </w:rPr>
        <w:t>High flows in mid-March 2012 in some streams resulted in higher concentrations of nutrients in the water.</w:t>
      </w:r>
    </w:p>
    <w:p w:rsidR="00033699" w:rsidRDefault="00033699" w:rsidP="005D2C39">
      <w:pPr>
        <w:pStyle w:val="ListParagraph"/>
        <w:numPr>
          <w:ilvl w:val="0"/>
          <w:numId w:val="8"/>
        </w:numPr>
        <w:spacing w:after="0" w:line="240" w:lineRule="auto"/>
        <w:contextualSpacing/>
        <w:rPr>
          <w:lang w:val="en-US"/>
        </w:rPr>
      </w:pPr>
      <w:r>
        <w:rPr>
          <w:b/>
          <w:lang w:val="en-US"/>
        </w:rPr>
        <w:t>The rate of ecosystem respiration increased faster with water temperature than the gross primary production rate.</w:t>
      </w:r>
      <w:r>
        <w:rPr>
          <w:lang w:val="en-US"/>
        </w:rPr>
        <w:t xml:space="preserve"> Coupled with lower oxygen solubility at higher temperatures, </w:t>
      </w:r>
      <w:r w:rsidRPr="00140347">
        <w:rPr>
          <w:lang w:val="en-US"/>
        </w:rPr>
        <w:t xml:space="preserve">this finding suggests that extended periods of high temperatures will greatly increase the likelihood of </w:t>
      </w:r>
      <w:proofErr w:type="spellStart"/>
      <w:r w:rsidRPr="00140347">
        <w:rPr>
          <w:lang w:val="en-US"/>
        </w:rPr>
        <w:t>suboxic</w:t>
      </w:r>
      <w:proofErr w:type="spellEnd"/>
      <w:r w:rsidRPr="00140347">
        <w:rPr>
          <w:lang w:val="en-US"/>
        </w:rPr>
        <w:t xml:space="preserve">, even anoxic events, which may then cause fish kills and other undesirable outcomes. </w:t>
      </w:r>
    </w:p>
    <w:p w:rsidR="00033699" w:rsidRDefault="00033699" w:rsidP="005D2C39">
      <w:pPr>
        <w:pStyle w:val="ListParagraph"/>
        <w:numPr>
          <w:ilvl w:val="0"/>
          <w:numId w:val="8"/>
        </w:numPr>
        <w:spacing w:after="0" w:line="240" w:lineRule="auto"/>
        <w:contextualSpacing/>
        <w:rPr>
          <w:lang w:val="en-US"/>
        </w:rPr>
      </w:pPr>
      <w:r w:rsidRPr="00350054">
        <w:rPr>
          <w:b/>
          <w:lang w:val="en-US"/>
        </w:rPr>
        <w:t xml:space="preserve">The energy base of the streams was based on organic carbon from the floodplain (heterotrophic) rather than primary production </w:t>
      </w:r>
      <w:r>
        <w:rPr>
          <w:b/>
          <w:lang w:val="en-US"/>
        </w:rPr>
        <w:t xml:space="preserve">from within the </w:t>
      </w:r>
      <w:r w:rsidRPr="00350054">
        <w:rPr>
          <w:b/>
          <w:lang w:val="en-US"/>
        </w:rPr>
        <w:t>channel (autotrophic) under all flow conditions.</w:t>
      </w:r>
      <w:r>
        <w:rPr>
          <w:lang w:val="en-US"/>
        </w:rPr>
        <w:t xml:space="preserve"> </w:t>
      </w:r>
      <w:r w:rsidRPr="00D61311">
        <w:rPr>
          <w:lang w:val="en-US"/>
        </w:rPr>
        <w:t>Despite the finding that the study streams w</w:t>
      </w:r>
      <w:r>
        <w:rPr>
          <w:lang w:val="en-US"/>
        </w:rPr>
        <w:t xml:space="preserve">ere almost always heterotrophic, </w:t>
      </w:r>
      <w:r w:rsidRPr="00D61311">
        <w:rPr>
          <w:lang w:val="en-US"/>
        </w:rPr>
        <w:t xml:space="preserve">in-stream production through </w:t>
      </w:r>
      <w:proofErr w:type="spellStart"/>
      <w:r w:rsidRPr="00D61311">
        <w:rPr>
          <w:lang w:val="en-US"/>
        </w:rPr>
        <w:t>biofilms</w:t>
      </w:r>
      <w:proofErr w:type="spellEnd"/>
      <w:r w:rsidRPr="00D61311">
        <w:rPr>
          <w:lang w:val="en-US"/>
        </w:rPr>
        <w:t xml:space="preserve">, phytoplankton and </w:t>
      </w:r>
      <w:proofErr w:type="spellStart"/>
      <w:r w:rsidRPr="00D61311">
        <w:rPr>
          <w:lang w:val="en-US"/>
        </w:rPr>
        <w:t>macrophytes</w:t>
      </w:r>
      <w:proofErr w:type="spellEnd"/>
      <w:r w:rsidRPr="00D61311">
        <w:rPr>
          <w:lang w:val="en-US"/>
        </w:rPr>
        <w:t xml:space="preserve"> is a very important source of carbon and energy to the aquatic </w:t>
      </w:r>
      <w:proofErr w:type="spellStart"/>
      <w:r w:rsidRPr="00D61311">
        <w:rPr>
          <w:lang w:val="en-US"/>
        </w:rPr>
        <w:t>foodwebs</w:t>
      </w:r>
      <w:proofErr w:type="spellEnd"/>
      <w:r w:rsidRPr="00D61311">
        <w:rPr>
          <w:lang w:val="en-US"/>
        </w:rPr>
        <w:t>.</w:t>
      </w:r>
    </w:p>
    <w:p w:rsidR="00033699" w:rsidRPr="00DE6EC4" w:rsidRDefault="00033699" w:rsidP="005D2C39">
      <w:pPr>
        <w:pStyle w:val="ListParagraph"/>
        <w:numPr>
          <w:ilvl w:val="0"/>
          <w:numId w:val="8"/>
        </w:numPr>
        <w:spacing w:after="0" w:line="240" w:lineRule="auto"/>
        <w:contextualSpacing/>
      </w:pPr>
      <w:r w:rsidRPr="00D61311">
        <w:rPr>
          <w:b/>
        </w:rPr>
        <w:t xml:space="preserve">There was no apparent response of leaf-litter breakdown rates to </w:t>
      </w:r>
      <w:r w:rsidRPr="00140347">
        <w:rPr>
          <w:b/>
        </w:rPr>
        <w:t>flow regime</w:t>
      </w:r>
      <w:r w:rsidRPr="00D61311">
        <w:rPr>
          <w:b/>
        </w:rPr>
        <w:t xml:space="preserve"> as breakdown rates were similar among the four rivers. </w:t>
      </w:r>
      <w:r w:rsidRPr="00D61311">
        <w:t>This may suggest that leaf-litter break</w:t>
      </w:r>
      <w:r>
        <w:t>down rates are not sensitive indicators of</w:t>
      </w:r>
      <w:r w:rsidRPr="00D61311">
        <w:t xml:space="preserve"> changes in hydrological regimes in the Edward-Wakool system.</w:t>
      </w:r>
    </w:p>
    <w:p w:rsidR="00033699" w:rsidRPr="00AB51BA" w:rsidRDefault="00033699" w:rsidP="005D2C39">
      <w:pPr>
        <w:pStyle w:val="ListParagraph"/>
        <w:numPr>
          <w:ilvl w:val="0"/>
          <w:numId w:val="8"/>
        </w:numPr>
        <w:spacing w:after="0" w:line="240" w:lineRule="auto"/>
      </w:pPr>
      <w:r w:rsidRPr="00AB51BA">
        <w:rPr>
          <w:b/>
        </w:rPr>
        <w:t xml:space="preserve">There was no response in organic biomass of </w:t>
      </w:r>
      <w:proofErr w:type="spellStart"/>
      <w:r w:rsidRPr="00AB51BA">
        <w:rPr>
          <w:b/>
        </w:rPr>
        <w:t>biofilms</w:t>
      </w:r>
      <w:proofErr w:type="spellEnd"/>
      <w:r w:rsidRPr="00AB51BA">
        <w:rPr>
          <w:b/>
        </w:rPr>
        <w:t xml:space="preserve"> to the environmental watering. </w:t>
      </w:r>
      <w:r w:rsidRPr="00AB51BA">
        <w:t xml:space="preserve">One month old </w:t>
      </w:r>
      <w:proofErr w:type="spellStart"/>
      <w:r w:rsidRPr="00AB51BA">
        <w:t>biofilms</w:t>
      </w:r>
      <w:proofErr w:type="spellEnd"/>
      <w:r w:rsidRPr="00AB51BA">
        <w:t xml:space="preserve"> in </w:t>
      </w:r>
      <w:proofErr w:type="spellStart"/>
      <w:r w:rsidRPr="00AB51BA">
        <w:t>Colligen</w:t>
      </w:r>
      <w:proofErr w:type="spellEnd"/>
      <w:r w:rsidRPr="00AB51BA">
        <w:t xml:space="preserve"> Creek showed no change in organic biomass after the November environmental watering, although there was evidence of a build up of inorganic sediment on the </w:t>
      </w:r>
      <w:proofErr w:type="spellStart"/>
      <w:r w:rsidRPr="00AB51BA">
        <w:t>biof</w:t>
      </w:r>
      <w:r>
        <w:t>i</w:t>
      </w:r>
      <w:r w:rsidRPr="00AB51BA">
        <w:t>lms</w:t>
      </w:r>
      <w:proofErr w:type="spellEnd"/>
      <w:r w:rsidRPr="00AB51BA">
        <w:t xml:space="preserve"> over this period. </w:t>
      </w:r>
    </w:p>
    <w:p w:rsidR="00033699" w:rsidRPr="00BE1924" w:rsidRDefault="00033699" w:rsidP="005D2C39">
      <w:pPr>
        <w:pStyle w:val="ListParagraph"/>
        <w:numPr>
          <w:ilvl w:val="0"/>
          <w:numId w:val="8"/>
        </w:numPr>
        <w:spacing w:after="0" w:line="240" w:lineRule="auto"/>
      </w:pPr>
      <w:r>
        <w:rPr>
          <w:b/>
        </w:rPr>
        <w:t xml:space="preserve">The amount of active algal biomass (measured as chlorophyll-a) responded positively to environmental flows. </w:t>
      </w:r>
      <w:r w:rsidRPr="00BE1924">
        <w:t>Chlorophyll-</w:t>
      </w:r>
      <w:proofErr w:type="gramStart"/>
      <w:r w:rsidRPr="00BE1924">
        <w:rPr>
          <w:i/>
        </w:rPr>
        <w:t>a</w:t>
      </w:r>
      <w:r w:rsidRPr="00BE1924">
        <w:t xml:space="preserve"> concentrations</w:t>
      </w:r>
      <w:proofErr w:type="gramEnd"/>
      <w:r w:rsidRPr="00BE1924">
        <w:t xml:space="preserve"> of one month old </w:t>
      </w:r>
      <w:proofErr w:type="spellStart"/>
      <w:r w:rsidRPr="00BE1924">
        <w:t>biofilms</w:t>
      </w:r>
      <w:proofErr w:type="spellEnd"/>
      <w:r w:rsidRPr="00BE1924">
        <w:t xml:space="preserve"> from </w:t>
      </w:r>
      <w:proofErr w:type="spellStart"/>
      <w:r w:rsidRPr="00BE1924">
        <w:t>Colligen</w:t>
      </w:r>
      <w:proofErr w:type="spellEnd"/>
      <w:r w:rsidRPr="00BE1924">
        <w:t xml:space="preserve"> Creek remained relatively constant </w:t>
      </w:r>
      <w:r>
        <w:t>following the</w:t>
      </w:r>
      <w:r w:rsidRPr="00BE1924">
        <w:t xml:space="preserve"> November 2011</w:t>
      </w:r>
      <w:r>
        <w:t xml:space="preserve"> environmental watering</w:t>
      </w:r>
      <w:r w:rsidRPr="00BE1924">
        <w:t>, whereas over the same period chlorophyll-</w:t>
      </w:r>
      <w:r w:rsidRPr="00BE1924">
        <w:rPr>
          <w:i/>
        </w:rPr>
        <w:t>a</w:t>
      </w:r>
      <w:r w:rsidRPr="00BE1924">
        <w:t xml:space="preserve"> levels of one month old </w:t>
      </w:r>
      <w:proofErr w:type="spellStart"/>
      <w:r w:rsidRPr="00BE1924">
        <w:t>biofilms</w:t>
      </w:r>
      <w:proofErr w:type="spellEnd"/>
      <w:r w:rsidRPr="00BE1924">
        <w:t xml:space="preserve"> increased in the Wakool River and increased substantially in </w:t>
      </w:r>
      <w:proofErr w:type="spellStart"/>
      <w:r w:rsidRPr="00BE1924">
        <w:t>Yallakool</w:t>
      </w:r>
      <w:proofErr w:type="spellEnd"/>
      <w:r w:rsidRPr="00BE1924">
        <w:t xml:space="preserve"> C</w:t>
      </w:r>
      <w:r>
        <w:t>ree</w:t>
      </w:r>
      <w:r w:rsidRPr="00BE1924">
        <w:t xml:space="preserve">k, as the constant discharge in these systems created conditions beneficial for rapid algal growth. </w:t>
      </w:r>
      <w:r w:rsidRPr="00AB51BA">
        <w:t>The chlorophyll-</w:t>
      </w:r>
      <w:proofErr w:type="gramStart"/>
      <w:r w:rsidRPr="00AB51BA">
        <w:rPr>
          <w:i/>
        </w:rPr>
        <w:t>a</w:t>
      </w:r>
      <w:r w:rsidRPr="00AB51BA">
        <w:t xml:space="preserve"> levels</w:t>
      </w:r>
      <w:proofErr w:type="gramEnd"/>
      <w:r w:rsidRPr="00AB51BA">
        <w:t xml:space="preserve"> in </w:t>
      </w:r>
      <w:proofErr w:type="spellStart"/>
      <w:r w:rsidRPr="00AB51BA">
        <w:t>Yallakool</w:t>
      </w:r>
      <w:proofErr w:type="spellEnd"/>
      <w:r w:rsidRPr="00AB51BA">
        <w:t xml:space="preserve"> Creek in December did not approach nuisance levels outlined by Quinn (1991). </w:t>
      </w:r>
    </w:p>
    <w:p w:rsidR="00033699" w:rsidRPr="00987A70" w:rsidRDefault="00033699" w:rsidP="005D2C39">
      <w:pPr>
        <w:pStyle w:val="ListParagraph"/>
        <w:numPr>
          <w:ilvl w:val="0"/>
          <w:numId w:val="8"/>
        </w:numPr>
        <w:spacing w:after="0" w:line="240" w:lineRule="auto"/>
        <w:rPr>
          <w:b/>
        </w:rPr>
      </w:pPr>
      <w:r w:rsidRPr="00987A70">
        <w:rPr>
          <w:b/>
        </w:rPr>
        <w:t xml:space="preserve">There was a seasonal increase in the abundance and number of observed taxonomic groups (diversity) of zooplankton from November to December 2011 in all four rivers, but these parameters did not appear to respond to environmental watering. </w:t>
      </w:r>
      <w:r w:rsidRPr="00987A70">
        <w:t xml:space="preserve">Patterns of abundance and diversity in </w:t>
      </w:r>
      <w:proofErr w:type="spellStart"/>
      <w:r w:rsidRPr="00987A70">
        <w:t>Colligen</w:t>
      </w:r>
      <w:proofErr w:type="spellEnd"/>
      <w:r w:rsidRPr="00987A70">
        <w:t xml:space="preserve"> Creek were comparable to the rivers not receiving environmental water.</w:t>
      </w:r>
    </w:p>
    <w:p w:rsidR="00033699" w:rsidRPr="00987A70" w:rsidRDefault="00033699" w:rsidP="005D2C39">
      <w:pPr>
        <w:pStyle w:val="ListParagraph"/>
        <w:numPr>
          <w:ilvl w:val="0"/>
          <w:numId w:val="8"/>
        </w:numPr>
        <w:spacing w:after="0" w:line="240" w:lineRule="auto"/>
        <w:ind w:left="357" w:hanging="357"/>
      </w:pPr>
      <w:r w:rsidRPr="00987A70">
        <w:rPr>
          <w:b/>
        </w:rPr>
        <w:t>There was an increase in the</w:t>
      </w:r>
      <w:r w:rsidRPr="00987A70">
        <w:t xml:space="preserve"> </w:t>
      </w:r>
      <w:r w:rsidRPr="00987A70">
        <w:rPr>
          <w:b/>
        </w:rPr>
        <w:t xml:space="preserve">diversity of zooplankton in </w:t>
      </w:r>
      <w:proofErr w:type="spellStart"/>
      <w:r w:rsidRPr="00987A70">
        <w:rPr>
          <w:b/>
        </w:rPr>
        <w:t>Colligen</w:t>
      </w:r>
      <w:proofErr w:type="spellEnd"/>
      <w:r w:rsidRPr="00987A70">
        <w:rPr>
          <w:b/>
        </w:rPr>
        <w:t xml:space="preserve"> Creek following the November 2011 environmental watering, </w:t>
      </w:r>
      <w:r w:rsidRPr="00987A70">
        <w:rPr>
          <w:b/>
          <w:noProof/>
        </w:rPr>
        <w:t>largely due to increases in a small number of rarely sampled taxon</w:t>
      </w:r>
      <w:r w:rsidRPr="00987A70">
        <w:rPr>
          <w:noProof/>
        </w:rPr>
        <w:t>.</w:t>
      </w:r>
      <w:r w:rsidRPr="00987A70">
        <w:t xml:space="preserve"> </w:t>
      </w:r>
      <w:r w:rsidRPr="00987A70">
        <w:rPr>
          <w:noProof/>
        </w:rPr>
        <w:t>This suggests that environmental watering may promote diversity in this group.</w:t>
      </w:r>
    </w:p>
    <w:p w:rsidR="00033699" w:rsidRPr="0030583B" w:rsidRDefault="00033699" w:rsidP="005D2C39">
      <w:pPr>
        <w:pStyle w:val="ListParagraph"/>
        <w:numPr>
          <w:ilvl w:val="0"/>
          <w:numId w:val="8"/>
        </w:numPr>
        <w:spacing w:after="0" w:line="240" w:lineRule="auto"/>
        <w:contextualSpacing/>
        <w:jc w:val="left"/>
        <w:rPr>
          <w:color w:val="000000" w:themeColor="text1"/>
        </w:rPr>
      </w:pPr>
      <w:r>
        <w:rPr>
          <w:b/>
        </w:rPr>
        <w:t xml:space="preserve">There were mixed responses of </w:t>
      </w:r>
      <w:proofErr w:type="spellStart"/>
      <w:r>
        <w:rPr>
          <w:b/>
        </w:rPr>
        <w:t>macroinvertebrate</w:t>
      </w:r>
      <w:proofErr w:type="spellEnd"/>
      <w:r>
        <w:rPr>
          <w:b/>
        </w:rPr>
        <w:t xml:space="preserve"> biodiversity to the environmental watering. </w:t>
      </w:r>
      <w:proofErr w:type="spellStart"/>
      <w:r>
        <w:t>Macroinvertebrate</w:t>
      </w:r>
      <w:proofErr w:type="spellEnd"/>
      <w:r>
        <w:t xml:space="preserve"> </w:t>
      </w:r>
      <w:r w:rsidRPr="00DD4C86">
        <w:t xml:space="preserve">diversity was higher in </w:t>
      </w:r>
      <w:proofErr w:type="spellStart"/>
      <w:r w:rsidRPr="00DD4C86">
        <w:t>Colligen</w:t>
      </w:r>
      <w:proofErr w:type="spellEnd"/>
      <w:r>
        <w:t xml:space="preserve"> Creek</w:t>
      </w:r>
      <w:r w:rsidRPr="00DD4C86">
        <w:t xml:space="preserve">, Wakool </w:t>
      </w:r>
      <w:r>
        <w:t xml:space="preserve">River </w:t>
      </w:r>
      <w:r w:rsidRPr="00DD4C86">
        <w:t xml:space="preserve">and Little </w:t>
      </w:r>
      <w:proofErr w:type="spellStart"/>
      <w:r w:rsidRPr="00DD4C86">
        <w:t>Merran</w:t>
      </w:r>
      <w:proofErr w:type="spellEnd"/>
      <w:r w:rsidRPr="00DD4C86">
        <w:t xml:space="preserve"> </w:t>
      </w:r>
      <w:r>
        <w:t xml:space="preserve">Creek </w:t>
      </w:r>
      <w:r w:rsidRPr="00DD4C86">
        <w:t xml:space="preserve">than </w:t>
      </w:r>
      <w:r>
        <w:t xml:space="preserve">in </w:t>
      </w:r>
      <w:proofErr w:type="spellStart"/>
      <w:r w:rsidRPr="00DD4C86">
        <w:t>Yallakool</w:t>
      </w:r>
      <w:proofErr w:type="spellEnd"/>
      <w:r>
        <w:t xml:space="preserve"> Creek</w:t>
      </w:r>
      <w:r w:rsidRPr="00DD4C86">
        <w:t xml:space="preserve">. This suggests that the </w:t>
      </w:r>
      <w:r>
        <w:t>environmental watering</w:t>
      </w:r>
      <w:r w:rsidRPr="00DD4C86">
        <w:t xml:space="preserve"> in </w:t>
      </w:r>
      <w:proofErr w:type="spellStart"/>
      <w:r w:rsidRPr="00DD4C86">
        <w:t>Colligen</w:t>
      </w:r>
      <w:proofErr w:type="spellEnd"/>
      <w:r w:rsidRPr="00DD4C86">
        <w:t xml:space="preserve"> </w:t>
      </w:r>
      <w:r>
        <w:t xml:space="preserve">Creek </w:t>
      </w:r>
      <w:r w:rsidRPr="00DD4C86">
        <w:t>did not increase fa</w:t>
      </w:r>
      <w:r>
        <w:t xml:space="preserve">mily richness but maintained diversity. In contrast </w:t>
      </w:r>
      <w:r w:rsidRPr="00DD4C86">
        <w:t xml:space="preserve">diversity was lower in </w:t>
      </w:r>
      <w:proofErr w:type="spellStart"/>
      <w:r w:rsidRPr="00DD4C86">
        <w:t>Yallakool</w:t>
      </w:r>
      <w:proofErr w:type="spellEnd"/>
      <w:r w:rsidRPr="00DD4C86">
        <w:t xml:space="preserve"> </w:t>
      </w:r>
      <w:r>
        <w:t xml:space="preserve">Creek </w:t>
      </w:r>
      <w:r w:rsidRPr="00DD4C86">
        <w:t>which did not receive any environmental flows</w:t>
      </w:r>
      <w:r>
        <w:t xml:space="preserve"> or the unregulated flow in September 2011</w:t>
      </w:r>
      <w:r w:rsidRPr="00DD4C86">
        <w:t>.</w:t>
      </w:r>
    </w:p>
    <w:p w:rsidR="00033699" w:rsidRPr="0030583B" w:rsidRDefault="00033699" w:rsidP="005D2C39">
      <w:pPr>
        <w:pStyle w:val="ListParagraph"/>
        <w:numPr>
          <w:ilvl w:val="0"/>
          <w:numId w:val="8"/>
        </w:numPr>
        <w:spacing w:after="0" w:line="240" w:lineRule="auto"/>
        <w:rPr>
          <w:szCs w:val="22"/>
          <w:u w:val="single"/>
          <w:lang w:eastAsia="en-AU"/>
        </w:rPr>
      </w:pPr>
      <w:r>
        <w:rPr>
          <w:b/>
        </w:rPr>
        <w:t>The environmental watering</w:t>
      </w:r>
      <w:r w:rsidRPr="00DD4C86">
        <w:rPr>
          <w:b/>
        </w:rPr>
        <w:t xml:space="preserve"> did not increase the occurrence of </w:t>
      </w:r>
      <w:proofErr w:type="spellStart"/>
      <w:r w:rsidRPr="00DD4C86">
        <w:rPr>
          <w:b/>
        </w:rPr>
        <w:t>macroinvertebrates</w:t>
      </w:r>
      <w:proofErr w:type="spellEnd"/>
      <w:r w:rsidRPr="00DD4C86">
        <w:rPr>
          <w:b/>
        </w:rPr>
        <w:t xml:space="preserve"> that were more flow-dependent. </w:t>
      </w:r>
      <w:r w:rsidRPr="00D61311">
        <w:t xml:space="preserve">One potential reason for this could be antecedent drought conditions had already eliminated sensitive flow-dependent </w:t>
      </w:r>
      <w:proofErr w:type="spellStart"/>
      <w:r w:rsidRPr="00D61311">
        <w:t>taxa</w:t>
      </w:r>
      <w:proofErr w:type="spellEnd"/>
      <w:r w:rsidRPr="00D61311">
        <w:t xml:space="preserve"> from the system. Also, the estimation of flow-dependence for </w:t>
      </w:r>
      <w:proofErr w:type="spellStart"/>
      <w:r w:rsidRPr="00D61311">
        <w:t>taxa</w:t>
      </w:r>
      <w:proofErr w:type="spellEnd"/>
      <w:r w:rsidRPr="00D61311">
        <w:t xml:space="preserve"> was based on family-level responses to flow which potentially could overlook species-specific responses.</w:t>
      </w:r>
    </w:p>
    <w:p w:rsidR="0030583B" w:rsidRPr="0030583B" w:rsidRDefault="0030583B" w:rsidP="0030583B">
      <w:pPr>
        <w:pStyle w:val="ListParagraph"/>
        <w:numPr>
          <w:ilvl w:val="0"/>
          <w:numId w:val="8"/>
        </w:numPr>
        <w:spacing w:after="0" w:line="240" w:lineRule="auto"/>
        <w:jc w:val="left"/>
        <w:rPr>
          <w:b/>
          <w:lang w:val="en-US"/>
        </w:rPr>
      </w:pPr>
      <w:r w:rsidRPr="0030583B">
        <w:rPr>
          <w:b/>
          <w:lang w:val="en-US"/>
        </w:rPr>
        <w:br w:type="page"/>
      </w:r>
    </w:p>
    <w:p w:rsidR="00033699" w:rsidRPr="00D61311" w:rsidRDefault="00033699" w:rsidP="005D2C39">
      <w:pPr>
        <w:pStyle w:val="ListParagraph"/>
        <w:numPr>
          <w:ilvl w:val="0"/>
          <w:numId w:val="8"/>
        </w:numPr>
        <w:spacing w:after="0" w:line="240" w:lineRule="auto"/>
        <w:rPr>
          <w:szCs w:val="22"/>
          <w:u w:val="single"/>
          <w:lang w:eastAsia="en-AU"/>
        </w:rPr>
      </w:pPr>
      <w:r w:rsidRPr="00DD4C86">
        <w:rPr>
          <w:b/>
        </w:rPr>
        <w:lastRenderedPageBreak/>
        <w:t xml:space="preserve">Changes in </w:t>
      </w:r>
      <w:proofErr w:type="spellStart"/>
      <w:r w:rsidRPr="00DD4C86">
        <w:rPr>
          <w:b/>
        </w:rPr>
        <w:t>macroinvertebrate</w:t>
      </w:r>
      <w:proofErr w:type="spellEnd"/>
      <w:r w:rsidRPr="00DD4C86">
        <w:rPr>
          <w:b/>
        </w:rPr>
        <w:t xml:space="preserve"> feeding groups reflected changes in flow regime in the four rivers.</w:t>
      </w:r>
      <w:r>
        <w:t xml:space="preserve"> Increased</w:t>
      </w:r>
      <w:r w:rsidRPr="00D61311">
        <w:t xml:space="preserve"> flow in </w:t>
      </w:r>
      <w:proofErr w:type="spellStart"/>
      <w:r w:rsidRPr="00D61311">
        <w:t>Colligen</w:t>
      </w:r>
      <w:proofErr w:type="spellEnd"/>
      <w:r>
        <w:t xml:space="preserve"> Creek</w:t>
      </w:r>
      <w:r w:rsidRPr="00D61311">
        <w:t xml:space="preserve"> increased abundances of filterer feeding invertebrates that feed on pelagic food sources and decreased abundances of collector-gatherers that feed on benthic food sources. In contrast, </w:t>
      </w:r>
      <w:r>
        <w:t xml:space="preserve">there were </w:t>
      </w:r>
      <w:r w:rsidRPr="00D61311">
        <w:t>increased abundances of scrapers and shredders that feed on benthic food sources</w:t>
      </w:r>
      <w:r>
        <w:t xml:space="preserve"> in </w:t>
      </w:r>
      <w:proofErr w:type="spellStart"/>
      <w:r w:rsidRPr="00D61311">
        <w:t>Yallakool</w:t>
      </w:r>
      <w:proofErr w:type="spellEnd"/>
      <w:r w:rsidRPr="00D61311">
        <w:t xml:space="preserve"> </w:t>
      </w:r>
      <w:r>
        <w:t xml:space="preserve">Creek that </w:t>
      </w:r>
      <w:r w:rsidRPr="00D61311">
        <w:t>had</w:t>
      </w:r>
      <w:r>
        <w:t xml:space="preserve"> </w:t>
      </w:r>
      <w:r w:rsidRPr="00D61311">
        <w:t>constant low flow.</w:t>
      </w:r>
      <w:r>
        <w:t xml:space="preserve"> Environmental flow events tended to make rivers more similar in terms of </w:t>
      </w:r>
      <w:proofErr w:type="spellStart"/>
      <w:r>
        <w:t>macroinvertebrate</w:t>
      </w:r>
      <w:proofErr w:type="spellEnd"/>
      <w:r>
        <w:t xml:space="preserve"> communities, whereas communities tended to differ more with time in the absence of environmental flows.</w:t>
      </w:r>
    </w:p>
    <w:p w:rsidR="00033699" w:rsidRDefault="00033699" w:rsidP="005D2C39">
      <w:pPr>
        <w:pStyle w:val="ListParagraph"/>
        <w:numPr>
          <w:ilvl w:val="0"/>
          <w:numId w:val="8"/>
        </w:numPr>
        <w:spacing w:after="0" w:line="240" w:lineRule="auto"/>
        <w:ind w:left="357" w:hanging="357"/>
      </w:pPr>
      <w:r w:rsidRPr="00D61311">
        <w:rPr>
          <w:b/>
        </w:rPr>
        <w:t>There were consistent numbers of Murray cod larvae present</w:t>
      </w:r>
      <w:r>
        <w:rPr>
          <w:b/>
        </w:rPr>
        <w:t xml:space="preserve"> in the study rivers</w:t>
      </w:r>
      <w:r w:rsidRPr="00D61311">
        <w:rPr>
          <w:b/>
        </w:rPr>
        <w:t xml:space="preserve">, but no evidence of increases in spawning of this species in response to the environmental watering in </w:t>
      </w:r>
      <w:proofErr w:type="spellStart"/>
      <w:r w:rsidRPr="00D61311">
        <w:rPr>
          <w:b/>
        </w:rPr>
        <w:t>Colligen</w:t>
      </w:r>
      <w:proofErr w:type="spellEnd"/>
      <w:r w:rsidRPr="00D61311">
        <w:rPr>
          <w:b/>
        </w:rPr>
        <w:t xml:space="preserve"> Creek in November 2011.</w:t>
      </w:r>
      <w:r w:rsidRPr="00D61311">
        <w:t xml:space="preserve"> </w:t>
      </w:r>
      <w:r w:rsidRPr="00D61311">
        <w:rPr>
          <w:szCs w:val="22"/>
        </w:rPr>
        <w:t>Despite evidence of silver perch and golden perch adults occurring in the system, we did not detect</w:t>
      </w:r>
      <w:r w:rsidRPr="00D61311">
        <w:t xml:space="preserve"> these species spawning in response to the environmental watering </w:t>
      </w:r>
      <w:r w:rsidRPr="00D61311">
        <w:rPr>
          <w:szCs w:val="22"/>
        </w:rPr>
        <w:t>with the sampling methodology employed in this project</w:t>
      </w:r>
      <w:r w:rsidRPr="00D61311">
        <w:t xml:space="preserve">. Therefore no conclusion can be made regarding the effect of the environmental watering on spawning of these </w:t>
      </w:r>
      <w:r>
        <w:t xml:space="preserve">two </w:t>
      </w:r>
      <w:r w:rsidRPr="00D61311">
        <w:t>species.</w:t>
      </w:r>
    </w:p>
    <w:p w:rsidR="00033699" w:rsidRPr="00D61311" w:rsidRDefault="00033699" w:rsidP="005D2C39">
      <w:pPr>
        <w:pStyle w:val="ListParagraph"/>
        <w:numPr>
          <w:ilvl w:val="0"/>
          <w:numId w:val="8"/>
        </w:numPr>
        <w:spacing w:after="0" w:line="240" w:lineRule="auto"/>
        <w:rPr>
          <w:szCs w:val="22"/>
        </w:rPr>
      </w:pPr>
      <w:r w:rsidRPr="00D61311">
        <w:rPr>
          <w:b/>
          <w:szCs w:val="22"/>
        </w:rPr>
        <w:t xml:space="preserve">There was an increase in the abundance of carp </w:t>
      </w:r>
      <w:proofErr w:type="spellStart"/>
      <w:r w:rsidRPr="00D61311">
        <w:rPr>
          <w:b/>
          <w:szCs w:val="22"/>
        </w:rPr>
        <w:t>gudgeon</w:t>
      </w:r>
      <w:proofErr w:type="spellEnd"/>
      <w:r w:rsidRPr="00D61311">
        <w:rPr>
          <w:b/>
          <w:szCs w:val="22"/>
        </w:rPr>
        <w:t xml:space="preserve"> larvae in </w:t>
      </w:r>
      <w:proofErr w:type="spellStart"/>
      <w:r w:rsidRPr="00D61311">
        <w:rPr>
          <w:b/>
          <w:szCs w:val="22"/>
        </w:rPr>
        <w:t>Colligen</w:t>
      </w:r>
      <w:proofErr w:type="spellEnd"/>
      <w:r w:rsidRPr="00D61311">
        <w:rPr>
          <w:b/>
          <w:szCs w:val="22"/>
        </w:rPr>
        <w:t xml:space="preserve"> Creek following the November environmental watering</w:t>
      </w:r>
      <w:r w:rsidRPr="00D61311">
        <w:rPr>
          <w:szCs w:val="22"/>
        </w:rPr>
        <w:t xml:space="preserve">. This response </w:t>
      </w:r>
      <w:r>
        <w:rPr>
          <w:szCs w:val="22"/>
        </w:rPr>
        <w:t>can</w:t>
      </w:r>
      <w:r w:rsidRPr="00D61311">
        <w:rPr>
          <w:szCs w:val="22"/>
        </w:rPr>
        <w:t xml:space="preserve"> be attributed to the environmental watering because there was little or no increase in the abundance of carp </w:t>
      </w:r>
      <w:proofErr w:type="spellStart"/>
      <w:r w:rsidRPr="00D61311">
        <w:rPr>
          <w:szCs w:val="22"/>
        </w:rPr>
        <w:t>gudgeon</w:t>
      </w:r>
      <w:proofErr w:type="spellEnd"/>
      <w:r w:rsidRPr="00D61311">
        <w:rPr>
          <w:szCs w:val="22"/>
        </w:rPr>
        <w:t xml:space="preserve"> larvae in the Wakool River, Little </w:t>
      </w:r>
      <w:proofErr w:type="spellStart"/>
      <w:r w:rsidRPr="00D61311">
        <w:rPr>
          <w:szCs w:val="22"/>
        </w:rPr>
        <w:t>Merran</w:t>
      </w:r>
      <w:proofErr w:type="spellEnd"/>
      <w:r w:rsidRPr="00D61311">
        <w:rPr>
          <w:szCs w:val="22"/>
        </w:rPr>
        <w:t xml:space="preserve"> Creek or </w:t>
      </w:r>
      <w:proofErr w:type="spellStart"/>
      <w:r w:rsidRPr="00D61311">
        <w:rPr>
          <w:szCs w:val="22"/>
        </w:rPr>
        <w:t>Yallakool</w:t>
      </w:r>
      <w:proofErr w:type="spellEnd"/>
      <w:r w:rsidRPr="00D61311">
        <w:rPr>
          <w:szCs w:val="22"/>
        </w:rPr>
        <w:t xml:space="preserve"> Creek</w:t>
      </w:r>
      <w:r>
        <w:rPr>
          <w:szCs w:val="22"/>
        </w:rPr>
        <w:t xml:space="preserve"> over this period</w:t>
      </w:r>
      <w:r w:rsidRPr="00D61311">
        <w:rPr>
          <w:szCs w:val="22"/>
        </w:rPr>
        <w:t xml:space="preserve">. </w:t>
      </w:r>
    </w:p>
    <w:p w:rsidR="00033699" w:rsidRDefault="00033699" w:rsidP="005D2C39">
      <w:pPr>
        <w:pStyle w:val="ListParagraph"/>
        <w:numPr>
          <w:ilvl w:val="0"/>
          <w:numId w:val="8"/>
        </w:numPr>
        <w:spacing w:after="0" w:line="240" w:lineRule="auto"/>
        <w:ind w:left="357" w:hanging="357"/>
      </w:pPr>
      <w:r w:rsidRPr="00D61311">
        <w:rPr>
          <w:b/>
        </w:rPr>
        <w:t xml:space="preserve">There was no immediate response of frogs to the </w:t>
      </w:r>
      <w:r>
        <w:rPr>
          <w:b/>
        </w:rPr>
        <w:t xml:space="preserve">February 2012 </w:t>
      </w:r>
      <w:r w:rsidRPr="00D61311">
        <w:rPr>
          <w:b/>
        </w:rPr>
        <w:t>environmental watering</w:t>
      </w:r>
      <w:r>
        <w:rPr>
          <w:b/>
        </w:rPr>
        <w:t xml:space="preserve">. </w:t>
      </w:r>
      <w:r w:rsidRPr="00D61311">
        <w:t xml:space="preserve">The abundance of frogs in </w:t>
      </w:r>
      <w:proofErr w:type="spellStart"/>
      <w:r w:rsidRPr="00D61311">
        <w:t>Colligen</w:t>
      </w:r>
      <w:proofErr w:type="spellEnd"/>
      <w:r w:rsidRPr="00D61311">
        <w:t xml:space="preserve"> Creek did not change in response to the February environmental watering or during the high flows in March. In contrast the abundance of frogs increased in March and April </w:t>
      </w:r>
      <w:r>
        <w:t xml:space="preserve">2012 </w:t>
      </w:r>
      <w:r w:rsidRPr="00D61311">
        <w:t xml:space="preserve">in </w:t>
      </w:r>
      <w:proofErr w:type="spellStart"/>
      <w:r w:rsidRPr="00D61311">
        <w:t>Yallakool</w:t>
      </w:r>
      <w:proofErr w:type="spellEnd"/>
      <w:r>
        <w:t xml:space="preserve"> Creek</w:t>
      </w:r>
      <w:r w:rsidRPr="00D61311">
        <w:t xml:space="preserve">, </w:t>
      </w:r>
      <w:r>
        <w:t xml:space="preserve">the </w:t>
      </w:r>
      <w:r w:rsidRPr="00D61311">
        <w:t xml:space="preserve">Wakool </w:t>
      </w:r>
      <w:r>
        <w:t xml:space="preserve">River </w:t>
      </w:r>
      <w:r w:rsidRPr="00D61311">
        <w:t>a</w:t>
      </w:r>
      <w:r>
        <w:t xml:space="preserve">nd Little </w:t>
      </w:r>
      <w:proofErr w:type="spellStart"/>
      <w:r>
        <w:t>Merran</w:t>
      </w:r>
      <w:proofErr w:type="spellEnd"/>
      <w:r>
        <w:t xml:space="preserve"> Creek</w:t>
      </w:r>
      <w:r w:rsidRPr="00D61311">
        <w:t xml:space="preserve"> with the most notable increase occurring in </w:t>
      </w:r>
      <w:proofErr w:type="spellStart"/>
      <w:r w:rsidRPr="00D61311">
        <w:t>Yallakool</w:t>
      </w:r>
      <w:proofErr w:type="spellEnd"/>
      <w:r w:rsidRPr="00D61311">
        <w:t xml:space="preserve"> Creek. The frog community in </w:t>
      </w:r>
      <w:proofErr w:type="spellStart"/>
      <w:r w:rsidRPr="00D61311">
        <w:t>Colligen</w:t>
      </w:r>
      <w:proofErr w:type="spellEnd"/>
      <w:r w:rsidRPr="00D61311">
        <w:t xml:space="preserve"> Creek was different to that in the three other rivers. It is </w:t>
      </w:r>
      <w:r>
        <w:t>inconclusive</w:t>
      </w:r>
      <w:r w:rsidRPr="00D61311">
        <w:t xml:space="preserve"> whether this was influenced by the environmental watering in </w:t>
      </w:r>
      <w:proofErr w:type="spellStart"/>
      <w:r w:rsidRPr="00D61311">
        <w:t>Colligen</w:t>
      </w:r>
      <w:proofErr w:type="spellEnd"/>
      <w:r w:rsidRPr="00D61311">
        <w:t xml:space="preserve"> Creek or reflects geomorphic features of the study reach. </w:t>
      </w:r>
      <w:r>
        <w:t>A</w:t>
      </w:r>
      <w:r w:rsidRPr="00D61311">
        <w:t xml:space="preserve"> more comprehensive understanding of frog respo</w:t>
      </w:r>
      <w:r>
        <w:t>nses to environmental watering c</w:t>
      </w:r>
      <w:r w:rsidRPr="00D61311">
        <w:t>ould be gained by increasing the number of sample reaches within each river in order to capture the full extent of geomorph</w:t>
      </w:r>
      <w:r>
        <w:t>ic diversity within each river.</w:t>
      </w:r>
    </w:p>
    <w:p w:rsidR="00033699" w:rsidRPr="00353138" w:rsidRDefault="00033699" w:rsidP="005D2C39">
      <w:pPr>
        <w:spacing w:before="240" w:after="120" w:line="240" w:lineRule="auto"/>
        <w:rPr>
          <w:i/>
          <w:szCs w:val="22"/>
          <w:u w:val="single"/>
          <w:lang w:eastAsia="en-AU"/>
        </w:rPr>
      </w:pPr>
      <w:r>
        <w:rPr>
          <w:i/>
          <w:szCs w:val="22"/>
          <w:u w:val="single"/>
          <w:lang w:eastAsia="en-AU"/>
        </w:rPr>
        <w:t>Environmental watering during</w:t>
      </w:r>
      <w:r w:rsidRPr="00353138">
        <w:rPr>
          <w:i/>
          <w:szCs w:val="22"/>
          <w:u w:val="single"/>
          <w:lang w:eastAsia="en-AU"/>
        </w:rPr>
        <w:t xml:space="preserve"> </w:t>
      </w:r>
      <w:proofErr w:type="spellStart"/>
      <w:r w:rsidRPr="00353138">
        <w:rPr>
          <w:i/>
          <w:szCs w:val="22"/>
          <w:u w:val="single"/>
          <w:lang w:eastAsia="en-AU"/>
        </w:rPr>
        <w:t>blackwater</w:t>
      </w:r>
      <w:proofErr w:type="spellEnd"/>
      <w:r w:rsidRPr="00353138">
        <w:rPr>
          <w:i/>
          <w:szCs w:val="22"/>
          <w:u w:val="single"/>
          <w:lang w:eastAsia="en-AU"/>
        </w:rPr>
        <w:t xml:space="preserve"> </w:t>
      </w:r>
      <w:r>
        <w:rPr>
          <w:i/>
          <w:szCs w:val="22"/>
          <w:u w:val="single"/>
          <w:lang w:eastAsia="en-AU"/>
        </w:rPr>
        <w:t xml:space="preserve">events </w:t>
      </w:r>
      <w:r w:rsidRPr="00353138">
        <w:rPr>
          <w:i/>
          <w:szCs w:val="22"/>
          <w:u w:val="single"/>
          <w:lang w:eastAsia="en-AU"/>
        </w:rPr>
        <w:t>to provide and maintain refuge habitats</w:t>
      </w:r>
      <w:r>
        <w:rPr>
          <w:i/>
          <w:szCs w:val="22"/>
          <w:u w:val="single"/>
          <w:lang w:eastAsia="en-AU"/>
        </w:rPr>
        <w:t xml:space="preserve"> (</w:t>
      </w:r>
      <w:proofErr w:type="gramStart"/>
      <w:r>
        <w:rPr>
          <w:i/>
          <w:szCs w:val="22"/>
          <w:u w:val="single"/>
          <w:lang w:eastAsia="en-AU"/>
        </w:rPr>
        <w:t>April  to</w:t>
      </w:r>
      <w:proofErr w:type="gramEnd"/>
      <w:r>
        <w:rPr>
          <w:i/>
          <w:szCs w:val="22"/>
          <w:u w:val="single"/>
          <w:lang w:eastAsia="en-AU"/>
        </w:rPr>
        <w:t xml:space="preserve"> May 2012)</w:t>
      </w:r>
      <w:r w:rsidRPr="00353138">
        <w:rPr>
          <w:i/>
          <w:szCs w:val="22"/>
          <w:u w:val="single"/>
          <w:lang w:eastAsia="en-AU"/>
        </w:rPr>
        <w:t>:</w:t>
      </w:r>
    </w:p>
    <w:p w:rsidR="00033699" w:rsidRPr="00447C4B" w:rsidRDefault="00033699" w:rsidP="005D2C39">
      <w:pPr>
        <w:pStyle w:val="ListParagraph"/>
        <w:numPr>
          <w:ilvl w:val="0"/>
          <w:numId w:val="8"/>
        </w:numPr>
        <w:spacing w:before="100" w:beforeAutospacing="1" w:after="100" w:afterAutospacing="1" w:line="240" w:lineRule="auto"/>
        <w:ind w:left="357" w:hanging="357"/>
      </w:pPr>
      <w:r w:rsidRPr="00B15675">
        <w:rPr>
          <w:b/>
        </w:rPr>
        <w:t xml:space="preserve">During the </w:t>
      </w:r>
      <w:proofErr w:type="spellStart"/>
      <w:r w:rsidRPr="00B15675">
        <w:rPr>
          <w:b/>
        </w:rPr>
        <w:t>b</w:t>
      </w:r>
      <w:r>
        <w:rPr>
          <w:b/>
        </w:rPr>
        <w:t>lackwater</w:t>
      </w:r>
      <w:proofErr w:type="spellEnd"/>
      <w:r>
        <w:rPr>
          <w:b/>
        </w:rPr>
        <w:t xml:space="preserve"> event in</w:t>
      </w:r>
      <w:r w:rsidRPr="00B15675">
        <w:rPr>
          <w:b/>
        </w:rPr>
        <w:t xml:space="preserve"> </w:t>
      </w:r>
      <w:r>
        <w:rPr>
          <w:b/>
        </w:rPr>
        <w:t xml:space="preserve">early </w:t>
      </w:r>
      <w:r w:rsidRPr="00B15675">
        <w:rPr>
          <w:b/>
        </w:rPr>
        <w:t xml:space="preserve">2012, </w:t>
      </w:r>
      <w:proofErr w:type="spellStart"/>
      <w:r w:rsidRPr="00B15675">
        <w:rPr>
          <w:b/>
        </w:rPr>
        <w:t>Colligen</w:t>
      </w:r>
      <w:proofErr w:type="spellEnd"/>
      <w:r w:rsidRPr="00B15675">
        <w:rPr>
          <w:b/>
        </w:rPr>
        <w:t xml:space="preserve"> Creek, </w:t>
      </w:r>
      <w:proofErr w:type="spellStart"/>
      <w:r w:rsidRPr="00B15675">
        <w:rPr>
          <w:b/>
        </w:rPr>
        <w:t>Ya</w:t>
      </w:r>
      <w:r>
        <w:rPr>
          <w:b/>
        </w:rPr>
        <w:t>llakool</w:t>
      </w:r>
      <w:proofErr w:type="spellEnd"/>
      <w:r>
        <w:rPr>
          <w:b/>
        </w:rPr>
        <w:t xml:space="preserve"> Creek and the Wakool River that received </w:t>
      </w:r>
      <w:r w:rsidRPr="00B15675">
        <w:rPr>
          <w:b/>
        </w:rPr>
        <w:t xml:space="preserve">environmental water </w:t>
      </w:r>
      <w:r>
        <w:rPr>
          <w:b/>
        </w:rPr>
        <w:t>via irrigation escapes,</w:t>
      </w:r>
      <w:r w:rsidRPr="00B15675">
        <w:rPr>
          <w:b/>
        </w:rPr>
        <w:t xml:space="preserve"> had faster recovery of higher dissolved oxygen levels than Little </w:t>
      </w:r>
      <w:proofErr w:type="spellStart"/>
      <w:r w:rsidRPr="00B15675">
        <w:rPr>
          <w:b/>
        </w:rPr>
        <w:t>Merran</w:t>
      </w:r>
      <w:proofErr w:type="spellEnd"/>
      <w:r w:rsidRPr="00B15675">
        <w:rPr>
          <w:b/>
        </w:rPr>
        <w:t xml:space="preserve"> Creek that did not receive </w:t>
      </w:r>
      <w:r>
        <w:rPr>
          <w:b/>
        </w:rPr>
        <w:t>environmental water</w:t>
      </w:r>
      <w:r>
        <w:t xml:space="preserve">. </w:t>
      </w:r>
      <w:r w:rsidRPr="00B51DD6">
        <w:t xml:space="preserve">Little </w:t>
      </w:r>
      <w:proofErr w:type="spellStart"/>
      <w:r w:rsidRPr="00B51DD6">
        <w:t>Merran</w:t>
      </w:r>
      <w:proofErr w:type="spellEnd"/>
      <w:r w:rsidRPr="00B51DD6">
        <w:t xml:space="preserve"> </w:t>
      </w:r>
      <w:proofErr w:type="gramStart"/>
      <w:r w:rsidRPr="00B51DD6">
        <w:t>Creek</w:t>
      </w:r>
      <w:r>
        <w:t>,</w:t>
      </w:r>
      <w:proofErr w:type="gramEnd"/>
      <w:r>
        <w:t xml:space="preserve"> was</w:t>
      </w:r>
      <w:r w:rsidRPr="00B51DD6">
        <w:t xml:space="preserve"> the only system continuing to be affected </w:t>
      </w:r>
      <w:r>
        <w:t xml:space="preserve">by </w:t>
      </w:r>
      <w:proofErr w:type="spellStart"/>
      <w:r>
        <w:t>blackwater</w:t>
      </w:r>
      <w:proofErr w:type="spellEnd"/>
      <w:r>
        <w:t xml:space="preserve"> in April.</w:t>
      </w:r>
    </w:p>
    <w:p w:rsidR="00033699" w:rsidRPr="00A17567" w:rsidRDefault="00033699" w:rsidP="00033699">
      <w:pPr>
        <w:spacing w:after="0"/>
        <w:rPr>
          <w:b/>
        </w:rPr>
      </w:pPr>
      <w:r w:rsidRPr="00A17567">
        <w:rPr>
          <w:b/>
        </w:rPr>
        <w:t>Summary of findings</w:t>
      </w:r>
    </w:p>
    <w:p w:rsidR="00033699" w:rsidRDefault="00033699" w:rsidP="005D2C39">
      <w:pPr>
        <w:pStyle w:val="CommentText"/>
        <w:spacing w:after="240" w:line="240" w:lineRule="auto"/>
        <w:rPr>
          <w:rFonts w:asciiTheme="minorHAnsi" w:hAnsiTheme="minorHAnsi" w:cstheme="minorHAnsi"/>
          <w:sz w:val="22"/>
          <w:szCs w:val="22"/>
        </w:rPr>
      </w:pPr>
      <w:r w:rsidRPr="006B3AD9">
        <w:rPr>
          <w:rFonts w:asciiTheme="minorHAnsi" w:hAnsiTheme="minorHAnsi" w:cstheme="minorHAnsi"/>
          <w:sz w:val="22"/>
          <w:szCs w:val="22"/>
        </w:rPr>
        <w:t>The responses to environmental watering in the Edward-</w:t>
      </w:r>
      <w:proofErr w:type="spellStart"/>
      <w:r w:rsidRPr="006B3AD9">
        <w:rPr>
          <w:rFonts w:asciiTheme="minorHAnsi" w:hAnsiTheme="minorHAnsi" w:cstheme="minorHAnsi"/>
          <w:sz w:val="22"/>
          <w:szCs w:val="22"/>
        </w:rPr>
        <w:t>Wakool</w:t>
      </w:r>
      <w:proofErr w:type="spellEnd"/>
      <w:r w:rsidRPr="006B3AD9">
        <w:rPr>
          <w:rFonts w:asciiTheme="minorHAnsi" w:hAnsiTheme="minorHAnsi" w:cstheme="minorHAnsi"/>
          <w:sz w:val="22"/>
          <w:szCs w:val="22"/>
        </w:rPr>
        <w:t xml:space="preserve"> system in 2011-12 </w:t>
      </w:r>
      <w:r>
        <w:rPr>
          <w:rFonts w:asciiTheme="minorHAnsi" w:hAnsiTheme="minorHAnsi" w:cstheme="minorHAnsi"/>
          <w:sz w:val="22"/>
          <w:szCs w:val="22"/>
        </w:rPr>
        <w:t xml:space="preserve">are </w:t>
      </w:r>
      <w:proofErr w:type="spellStart"/>
      <w:r>
        <w:rPr>
          <w:rFonts w:asciiTheme="minorHAnsi" w:hAnsiTheme="minorHAnsi" w:cstheme="minorHAnsi"/>
          <w:sz w:val="22"/>
          <w:szCs w:val="22"/>
        </w:rPr>
        <w:t>summarised</w:t>
      </w:r>
      <w:proofErr w:type="spellEnd"/>
      <w:r>
        <w:rPr>
          <w:rFonts w:asciiTheme="minorHAnsi" w:hAnsiTheme="minorHAnsi" w:cstheme="minorHAnsi"/>
          <w:sz w:val="22"/>
          <w:szCs w:val="22"/>
        </w:rPr>
        <w:t xml:space="preserve"> in T</w:t>
      </w:r>
      <w:r w:rsidRPr="006B3AD9">
        <w:rPr>
          <w:rFonts w:asciiTheme="minorHAnsi" w:hAnsiTheme="minorHAnsi" w:cstheme="minorHAnsi"/>
          <w:sz w:val="22"/>
          <w:szCs w:val="22"/>
        </w:rPr>
        <w:t xml:space="preserve">able </w:t>
      </w:r>
      <w:proofErr w:type="spellStart"/>
      <w:r w:rsidRPr="006B3AD9">
        <w:rPr>
          <w:rFonts w:asciiTheme="minorHAnsi" w:hAnsiTheme="minorHAnsi" w:cstheme="minorHAnsi"/>
          <w:sz w:val="22"/>
          <w:szCs w:val="22"/>
        </w:rPr>
        <w:t>i</w:t>
      </w:r>
      <w:proofErr w:type="spellEnd"/>
      <w:r w:rsidRPr="006B3AD9">
        <w:rPr>
          <w:rFonts w:asciiTheme="minorHAnsi" w:hAnsiTheme="minorHAnsi" w:cstheme="minorHAnsi"/>
          <w:sz w:val="22"/>
          <w:szCs w:val="22"/>
        </w:rPr>
        <w:t>. There were a number of significant responses to the Novemb</w:t>
      </w:r>
      <w:r>
        <w:rPr>
          <w:rFonts w:asciiTheme="minorHAnsi" w:hAnsiTheme="minorHAnsi" w:cstheme="minorHAnsi"/>
          <w:sz w:val="22"/>
          <w:szCs w:val="22"/>
        </w:rPr>
        <w:t>er 2011 environmental watering. This demonstrates t</w:t>
      </w:r>
      <w:r w:rsidRPr="00B15675">
        <w:rPr>
          <w:rFonts w:asciiTheme="minorHAnsi" w:hAnsiTheme="minorHAnsi" w:cstheme="minorHAnsi"/>
          <w:sz w:val="22"/>
          <w:szCs w:val="22"/>
        </w:rPr>
        <w:t xml:space="preserve">here are </w:t>
      </w:r>
      <w:r>
        <w:rPr>
          <w:rFonts w:asciiTheme="minorHAnsi" w:hAnsiTheme="minorHAnsi" w:cstheme="minorHAnsi"/>
          <w:sz w:val="22"/>
          <w:szCs w:val="22"/>
        </w:rPr>
        <w:t xml:space="preserve">clear </w:t>
      </w:r>
      <w:r w:rsidRPr="00B15675">
        <w:rPr>
          <w:rFonts w:asciiTheme="minorHAnsi" w:hAnsiTheme="minorHAnsi" w:cstheme="minorHAnsi"/>
          <w:sz w:val="22"/>
          <w:szCs w:val="22"/>
        </w:rPr>
        <w:t xml:space="preserve">ecosystem benefits of providing in-channel </w:t>
      </w:r>
      <w:proofErr w:type="spellStart"/>
      <w:r>
        <w:rPr>
          <w:rFonts w:asciiTheme="minorHAnsi" w:hAnsiTheme="minorHAnsi" w:cstheme="minorHAnsi"/>
          <w:sz w:val="22"/>
          <w:szCs w:val="22"/>
        </w:rPr>
        <w:t>freshes</w:t>
      </w:r>
      <w:proofErr w:type="spellEnd"/>
      <w:r w:rsidRPr="00B15675">
        <w:rPr>
          <w:rFonts w:asciiTheme="minorHAnsi" w:hAnsiTheme="minorHAnsi" w:cstheme="minorHAnsi"/>
          <w:sz w:val="22"/>
          <w:szCs w:val="22"/>
        </w:rPr>
        <w:t xml:space="preserve"> to the Edward-</w:t>
      </w:r>
      <w:proofErr w:type="spellStart"/>
      <w:r w:rsidRPr="00B15675">
        <w:rPr>
          <w:rFonts w:asciiTheme="minorHAnsi" w:hAnsiTheme="minorHAnsi" w:cstheme="minorHAnsi"/>
          <w:sz w:val="22"/>
          <w:szCs w:val="22"/>
        </w:rPr>
        <w:t>Wakool</w:t>
      </w:r>
      <w:proofErr w:type="spellEnd"/>
      <w:r w:rsidRPr="00B15675">
        <w:rPr>
          <w:rFonts w:asciiTheme="minorHAnsi" w:hAnsiTheme="minorHAnsi" w:cstheme="minorHAnsi"/>
          <w:sz w:val="22"/>
          <w:szCs w:val="22"/>
        </w:rPr>
        <w:t xml:space="preserve"> system in spring.</w:t>
      </w:r>
      <w:r w:rsidRPr="00B15675">
        <w:rPr>
          <w:rFonts w:asciiTheme="minorHAnsi" w:hAnsiTheme="minorHAnsi" w:cstheme="minorHAnsi"/>
          <w:szCs w:val="22"/>
        </w:rPr>
        <w:t xml:space="preserve"> </w:t>
      </w:r>
      <w:r>
        <w:rPr>
          <w:rFonts w:asciiTheme="minorHAnsi" w:hAnsiTheme="minorHAnsi" w:cstheme="minorHAnsi"/>
          <w:sz w:val="22"/>
          <w:szCs w:val="22"/>
        </w:rPr>
        <w:t>In contrast,</w:t>
      </w:r>
      <w:r w:rsidRPr="006B3AD9">
        <w:rPr>
          <w:rFonts w:asciiTheme="minorHAnsi" w:hAnsiTheme="minorHAnsi" w:cstheme="minorHAnsi"/>
          <w:sz w:val="22"/>
          <w:szCs w:val="22"/>
        </w:rPr>
        <w:t xml:space="preserve"> there were </w:t>
      </w:r>
      <w:r>
        <w:rPr>
          <w:rFonts w:asciiTheme="minorHAnsi" w:hAnsiTheme="minorHAnsi" w:cstheme="minorHAnsi"/>
          <w:sz w:val="22"/>
          <w:szCs w:val="22"/>
        </w:rPr>
        <w:t>almost no</w:t>
      </w:r>
      <w:r w:rsidRPr="006B3AD9">
        <w:rPr>
          <w:rFonts w:asciiTheme="minorHAnsi" w:hAnsiTheme="minorHAnsi" w:cstheme="minorHAnsi"/>
          <w:sz w:val="22"/>
          <w:szCs w:val="22"/>
        </w:rPr>
        <w:t xml:space="preserve"> significant responses to the February 2012 environmental watering. As the discharge during the November 2011 and February 2012 events in </w:t>
      </w:r>
      <w:proofErr w:type="spellStart"/>
      <w:r w:rsidRPr="006B3AD9">
        <w:rPr>
          <w:rFonts w:asciiTheme="minorHAnsi" w:hAnsiTheme="minorHAnsi" w:cstheme="minorHAnsi"/>
          <w:sz w:val="22"/>
          <w:szCs w:val="22"/>
        </w:rPr>
        <w:t>Colligen</w:t>
      </w:r>
      <w:proofErr w:type="spellEnd"/>
      <w:r w:rsidRPr="006B3AD9">
        <w:rPr>
          <w:rFonts w:asciiTheme="minorHAnsi" w:hAnsiTheme="minorHAnsi" w:cstheme="minorHAnsi"/>
          <w:sz w:val="22"/>
          <w:szCs w:val="22"/>
        </w:rPr>
        <w:t xml:space="preserve"> Creek were </w:t>
      </w:r>
      <w:r>
        <w:rPr>
          <w:rFonts w:asciiTheme="minorHAnsi" w:hAnsiTheme="minorHAnsi" w:cstheme="minorHAnsi"/>
          <w:sz w:val="22"/>
          <w:szCs w:val="22"/>
        </w:rPr>
        <w:t xml:space="preserve">of </w:t>
      </w:r>
      <w:r w:rsidRPr="006B3AD9">
        <w:rPr>
          <w:rFonts w:asciiTheme="minorHAnsi" w:hAnsiTheme="minorHAnsi" w:cstheme="minorHAnsi"/>
          <w:sz w:val="22"/>
          <w:szCs w:val="22"/>
        </w:rPr>
        <w:t>similar</w:t>
      </w:r>
      <w:r>
        <w:rPr>
          <w:rFonts w:asciiTheme="minorHAnsi" w:hAnsiTheme="minorHAnsi" w:cstheme="minorHAnsi"/>
          <w:sz w:val="22"/>
          <w:szCs w:val="22"/>
        </w:rPr>
        <w:t xml:space="preserve"> magnitude</w:t>
      </w:r>
      <w:r w:rsidRPr="006B3AD9">
        <w:rPr>
          <w:rFonts w:asciiTheme="minorHAnsi" w:hAnsiTheme="minorHAnsi" w:cstheme="minorHAnsi"/>
          <w:sz w:val="22"/>
          <w:szCs w:val="22"/>
        </w:rPr>
        <w:t xml:space="preserve">, the difference in the number of significant ecological responses between the November and February events could be attributed to either the seasonal timing of environmental watering or the influence of antecedent conditions. There were a number of significant responses to the </w:t>
      </w:r>
      <w:r>
        <w:rPr>
          <w:rFonts w:asciiTheme="minorHAnsi" w:hAnsiTheme="minorHAnsi" w:cstheme="minorHAnsi"/>
          <w:sz w:val="22"/>
          <w:szCs w:val="22"/>
        </w:rPr>
        <w:t>April</w:t>
      </w:r>
      <w:r w:rsidRPr="006B3AD9">
        <w:rPr>
          <w:rFonts w:asciiTheme="minorHAnsi" w:hAnsiTheme="minorHAnsi" w:cstheme="minorHAnsi"/>
          <w:sz w:val="22"/>
          <w:szCs w:val="22"/>
        </w:rPr>
        <w:t xml:space="preserve"> to May 2012 environmental watering in </w:t>
      </w:r>
      <w:proofErr w:type="spellStart"/>
      <w:r w:rsidRPr="006B3AD9">
        <w:rPr>
          <w:rFonts w:asciiTheme="minorHAnsi" w:hAnsiTheme="minorHAnsi" w:cstheme="minorHAnsi"/>
          <w:sz w:val="22"/>
          <w:szCs w:val="22"/>
        </w:rPr>
        <w:t>Colligen</w:t>
      </w:r>
      <w:proofErr w:type="spellEnd"/>
      <w:r w:rsidRPr="006B3AD9">
        <w:rPr>
          <w:rFonts w:asciiTheme="minorHAnsi" w:hAnsiTheme="minorHAnsi" w:cstheme="minorHAnsi"/>
          <w:sz w:val="22"/>
          <w:szCs w:val="22"/>
        </w:rPr>
        <w:t xml:space="preserve"> Creek, </w:t>
      </w:r>
      <w:proofErr w:type="spellStart"/>
      <w:r w:rsidRPr="006B3AD9">
        <w:rPr>
          <w:rFonts w:asciiTheme="minorHAnsi" w:hAnsiTheme="minorHAnsi" w:cstheme="minorHAnsi"/>
          <w:sz w:val="22"/>
          <w:szCs w:val="22"/>
        </w:rPr>
        <w:t>Wakool</w:t>
      </w:r>
      <w:proofErr w:type="spellEnd"/>
      <w:r w:rsidRPr="006B3AD9">
        <w:rPr>
          <w:rFonts w:asciiTheme="minorHAnsi" w:hAnsiTheme="minorHAnsi" w:cstheme="minorHAnsi"/>
          <w:sz w:val="22"/>
          <w:szCs w:val="22"/>
        </w:rPr>
        <w:t xml:space="preserve"> River and </w:t>
      </w:r>
      <w:proofErr w:type="spellStart"/>
      <w:r w:rsidRPr="006B3AD9">
        <w:rPr>
          <w:rFonts w:asciiTheme="minorHAnsi" w:hAnsiTheme="minorHAnsi" w:cstheme="minorHAnsi"/>
          <w:sz w:val="22"/>
          <w:szCs w:val="22"/>
        </w:rPr>
        <w:t>Yallakool</w:t>
      </w:r>
      <w:proofErr w:type="spellEnd"/>
      <w:r w:rsidRPr="006B3AD9">
        <w:rPr>
          <w:rFonts w:asciiTheme="minorHAnsi" w:hAnsiTheme="minorHAnsi" w:cstheme="minorHAnsi"/>
          <w:sz w:val="22"/>
          <w:szCs w:val="22"/>
        </w:rPr>
        <w:t xml:space="preserve"> Creek, particularly </w:t>
      </w:r>
      <w:r>
        <w:rPr>
          <w:rFonts w:asciiTheme="minorHAnsi" w:hAnsiTheme="minorHAnsi" w:cstheme="minorHAnsi"/>
          <w:sz w:val="22"/>
          <w:szCs w:val="22"/>
        </w:rPr>
        <w:t xml:space="preserve">for those </w:t>
      </w:r>
      <w:r w:rsidRPr="006B3AD9">
        <w:rPr>
          <w:rFonts w:asciiTheme="minorHAnsi" w:hAnsiTheme="minorHAnsi" w:cstheme="minorHAnsi"/>
          <w:sz w:val="22"/>
          <w:szCs w:val="22"/>
        </w:rPr>
        <w:t xml:space="preserve">parameters relating to water chemistry and </w:t>
      </w:r>
      <w:proofErr w:type="spellStart"/>
      <w:r w:rsidRPr="006B3AD9">
        <w:rPr>
          <w:rFonts w:asciiTheme="minorHAnsi" w:hAnsiTheme="minorHAnsi" w:cstheme="minorHAnsi"/>
          <w:sz w:val="22"/>
          <w:szCs w:val="22"/>
        </w:rPr>
        <w:t>riverine</w:t>
      </w:r>
      <w:proofErr w:type="spellEnd"/>
      <w:r w:rsidRPr="006B3AD9">
        <w:rPr>
          <w:rFonts w:asciiTheme="minorHAnsi" w:hAnsiTheme="minorHAnsi" w:cstheme="minorHAnsi"/>
          <w:sz w:val="22"/>
          <w:szCs w:val="22"/>
        </w:rPr>
        <w:t xml:space="preserve"> productivity. This demonstrates that the environmental watering achieved the objective of mitigating the effects of hypoxic </w:t>
      </w:r>
      <w:proofErr w:type="spellStart"/>
      <w:r w:rsidRPr="006B3AD9">
        <w:rPr>
          <w:rFonts w:asciiTheme="minorHAnsi" w:hAnsiTheme="minorHAnsi" w:cstheme="minorHAnsi"/>
          <w:sz w:val="22"/>
          <w:szCs w:val="22"/>
        </w:rPr>
        <w:t>blackwater</w:t>
      </w:r>
      <w:proofErr w:type="spellEnd"/>
      <w:r>
        <w:rPr>
          <w:rFonts w:asciiTheme="minorHAnsi" w:hAnsiTheme="minorHAnsi" w:cstheme="minorHAnsi"/>
          <w:sz w:val="22"/>
          <w:szCs w:val="22"/>
        </w:rPr>
        <w:t xml:space="preserve"> and was able to provide and maintain refuge habitat (</w:t>
      </w:r>
      <w:proofErr w:type="spellStart"/>
      <w:r>
        <w:rPr>
          <w:rFonts w:asciiTheme="minorHAnsi" w:hAnsiTheme="minorHAnsi" w:cstheme="minorHAnsi"/>
          <w:sz w:val="22"/>
          <w:szCs w:val="22"/>
        </w:rPr>
        <w:t>favourable</w:t>
      </w:r>
      <w:proofErr w:type="spellEnd"/>
      <w:r w:rsidRPr="00B54631">
        <w:rPr>
          <w:rFonts w:asciiTheme="minorHAnsi" w:hAnsiTheme="minorHAnsi" w:cstheme="minorHAnsi"/>
          <w:sz w:val="22"/>
          <w:szCs w:val="22"/>
        </w:rPr>
        <w:t xml:space="preserve"> water chemistry</w:t>
      </w:r>
      <w:r>
        <w:rPr>
          <w:rFonts w:asciiTheme="minorHAnsi" w:hAnsiTheme="minorHAnsi" w:cstheme="minorHAnsi"/>
          <w:sz w:val="22"/>
          <w:szCs w:val="22"/>
        </w:rPr>
        <w:t xml:space="preserve">) for fish populations.  </w:t>
      </w:r>
    </w:p>
    <w:p w:rsidR="005D2C39" w:rsidRDefault="005D2C39">
      <w:pPr>
        <w:spacing w:after="0" w:line="240" w:lineRule="auto"/>
        <w:jc w:val="left"/>
        <w:rPr>
          <w:rFonts w:asciiTheme="minorHAnsi" w:hAnsiTheme="minorHAnsi" w:cstheme="minorHAnsi"/>
          <w:szCs w:val="22"/>
          <w:lang w:val="en-US"/>
        </w:rPr>
      </w:pPr>
      <w:r>
        <w:rPr>
          <w:rFonts w:asciiTheme="minorHAnsi" w:hAnsiTheme="minorHAnsi" w:cstheme="minorHAnsi"/>
          <w:szCs w:val="22"/>
        </w:rPr>
        <w:br w:type="page"/>
      </w:r>
    </w:p>
    <w:p w:rsidR="00033699" w:rsidRPr="00B15675" w:rsidRDefault="00033699" w:rsidP="008C3A35">
      <w:pPr>
        <w:spacing w:after="120" w:line="240" w:lineRule="auto"/>
        <w:ind w:left="720" w:hanging="720"/>
        <w:rPr>
          <w:sz w:val="18"/>
          <w:szCs w:val="18"/>
        </w:rPr>
      </w:pPr>
      <w:proofErr w:type="gramStart"/>
      <w:r w:rsidRPr="00116BE4">
        <w:rPr>
          <w:b/>
          <w:sz w:val="20"/>
        </w:rPr>
        <w:lastRenderedPageBreak/>
        <w:t xml:space="preserve">Table </w:t>
      </w:r>
      <w:proofErr w:type="spellStart"/>
      <w:r w:rsidRPr="00116BE4">
        <w:rPr>
          <w:b/>
          <w:sz w:val="20"/>
        </w:rPr>
        <w:t>i</w:t>
      </w:r>
      <w:proofErr w:type="spellEnd"/>
      <w:r w:rsidRPr="00116BE4">
        <w:rPr>
          <w:b/>
          <w:sz w:val="20"/>
        </w:rPr>
        <w:t>.</w:t>
      </w:r>
      <w:r w:rsidR="008C3A35">
        <w:rPr>
          <w:sz w:val="20"/>
        </w:rPr>
        <w:tab/>
      </w:r>
      <w:r w:rsidRPr="00D43376">
        <w:rPr>
          <w:sz w:val="20"/>
        </w:rPr>
        <w:t xml:space="preserve">Summary of </w:t>
      </w:r>
      <w:r>
        <w:rPr>
          <w:sz w:val="20"/>
        </w:rPr>
        <w:t xml:space="preserve">ecosystem responses </w:t>
      </w:r>
      <w:r w:rsidRPr="00D43376">
        <w:rPr>
          <w:sz w:val="20"/>
        </w:rPr>
        <w:t>to environmental watering</w:t>
      </w:r>
      <w:r>
        <w:rPr>
          <w:sz w:val="20"/>
        </w:rPr>
        <w:t xml:space="preserve"> in the Edward-Wakool system in 2011/12</w:t>
      </w:r>
      <w:r w:rsidRPr="00B15675">
        <w:rPr>
          <w:sz w:val="20"/>
        </w:rPr>
        <w:t>.</w:t>
      </w:r>
      <w:proofErr w:type="gramEnd"/>
      <w:r w:rsidRPr="00B15675">
        <w:rPr>
          <w:sz w:val="20"/>
        </w:rPr>
        <w:t xml:space="preserve"> N/</w:t>
      </w:r>
      <w:proofErr w:type="gramStart"/>
      <w:r w:rsidRPr="00B15675">
        <w:rPr>
          <w:sz w:val="20"/>
        </w:rPr>
        <w:t>A  =</w:t>
      </w:r>
      <w:proofErr w:type="gramEnd"/>
      <w:r w:rsidRPr="00B15675">
        <w:rPr>
          <w:sz w:val="20"/>
        </w:rPr>
        <w:t xml:space="preserve"> not evaluated</w:t>
      </w:r>
    </w:p>
    <w:tbl>
      <w:tblPr>
        <w:tblStyle w:val="TableGrid"/>
        <w:tblW w:w="9067" w:type="dxa"/>
        <w:tblLayout w:type="fixed"/>
        <w:tblLook w:val="04A0"/>
      </w:tblPr>
      <w:tblGrid>
        <w:gridCol w:w="1830"/>
        <w:gridCol w:w="1876"/>
        <w:gridCol w:w="1848"/>
        <w:gridCol w:w="1833"/>
        <w:gridCol w:w="1680"/>
      </w:tblGrid>
      <w:tr w:rsidR="00033699" w:rsidRPr="00BF49C9" w:rsidTr="003F50DD">
        <w:trPr>
          <w:cnfStyle w:val="100000000000"/>
        </w:trPr>
        <w:tc>
          <w:tcPr>
            <w:tcW w:w="1830" w:type="dxa"/>
            <w:vAlign w:val="center"/>
          </w:tcPr>
          <w:p w:rsidR="00033699" w:rsidRPr="008B16CC" w:rsidRDefault="00033699" w:rsidP="003F50DD">
            <w:pPr>
              <w:spacing w:after="0" w:line="240" w:lineRule="auto"/>
              <w:jc w:val="left"/>
              <w:rPr>
                <w:b/>
                <w:szCs w:val="22"/>
              </w:rPr>
            </w:pPr>
            <w:r w:rsidRPr="008B16CC">
              <w:rPr>
                <w:b/>
                <w:szCs w:val="22"/>
              </w:rPr>
              <w:t>Indicators</w:t>
            </w:r>
          </w:p>
        </w:tc>
        <w:tc>
          <w:tcPr>
            <w:tcW w:w="1876" w:type="dxa"/>
            <w:vAlign w:val="center"/>
          </w:tcPr>
          <w:p w:rsidR="00033699" w:rsidRPr="008B16CC" w:rsidRDefault="00033699" w:rsidP="003F50DD">
            <w:pPr>
              <w:spacing w:after="0" w:line="240" w:lineRule="auto"/>
              <w:jc w:val="left"/>
              <w:rPr>
                <w:b/>
              </w:rPr>
            </w:pPr>
            <w:r w:rsidRPr="008B16CC">
              <w:rPr>
                <w:b/>
              </w:rPr>
              <w:t xml:space="preserve">November 2011 environmental watering in </w:t>
            </w:r>
            <w:proofErr w:type="spellStart"/>
            <w:r w:rsidRPr="008B16CC">
              <w:rPr>
                <w:b/>
              </w:rPr>
              <w:t>Colligen</w:t>
            </w:r>
            <w:proofErr w:type="spellEnd"/>
            <w:r w:rsidRPr="008B16CC">
              <w:rPr>
                <w:b/>
              </w:rPr>
              <w:t xml:space="preserve"> Ck</w:t>
            </w:r>
          </w:p>
        </w:tc>
        <w:tc>
          <w:tcPr>
            <w:tcW w:w="1848" w:type="dxa"/>
            <w:vAlign w:val="center"/>
          </w:tcPr>
          <w:p w:rsidR="00033699" w:rsidRPr="008B16CC" w:rsidRDefault="00033699" w:rsidP="003F50DD">
            <w:pPr>
              <w:spacing w:after="0" w:line="240" w:lineRule="auto"/>
              <w:jc w:val="left"/>
              <w:rPr>
                <w:b/>
              </w:rPr>
            </w:pPr>
            <w:r w:rsidRPr="008B16CC">
              <w:rPr>
                <w:b/>
              </w:rPr>
              <w:t xml:space="preserve">February 2012 environmental watering in </w:t>
            </w:r>
            <w:proofErr w:type="spellStart"/>
            <w:r w:rsidRPr="008B16CC">
              <w:rPr>
                <w:b/>
              </w:rPr>
              <w:t>Colligen</w:t>
            </w:r>
            <w:proofErr w:type="spellEnd"/>
            <w:r w:rsidRPr="008B16CC">
              <w:rPr>
                <w:b/>
              </w:rPr>
              <w:t xml:space="preserve"> Ck and Wakool River</w:t>
            </w:r>
          </w:p>
        </w:tc>
        <w:tc>
          <w:tcPr>
            <w:tcW w:w="1833" w:type="dxa"/>
            <w:vAlign w:val="center"/>
          </w:tcPr>
          <w:p w:rsidR="00033699" w:rsidRPr="008B16CC" w:rsidRDefault="00033699" w:rsidP="003F50DD">
            <w:pPr>
              <w:spacing w:after="0" w:line="240" w:lineRule="auto"/>
              <w:jc w:val="left"/>
              <w:rPr>
                <w:b/>
              </w:rPr>
            </w:pPr>
            <w:r>
              <w:rPr>
                <w:b/>
              </w:rPr>
              <w:t>April to May</w:t>
            </w:r>
            <w:r w:rsidRPr="008B16CC">
              <w:rPr>
                <w:b/>
              </w:rPr>
              <w:t xml:space="preserve"> 2012 environmental watering from irrigation escapes</w:t>
            </w:r>
          </w:p>
        </w:tc>
        <w:tc>
          <w:tcPr>
            <w:tcW w:w="1680" w:type="dxa"/>
            <w:vAlign w:val="center"/>
          </w:tcPr>
          <w:p w:rsidR="00033699" w:rsidRDefault="00033699" w:rsidP="003F50DD">
            <w:pPr>
              <w:spacing w:after="0" w:line="240" w:lineRule="auto"/>
              <w:jc w:val="left"/>
              <w:rPr>
                <w:b/>
              </w:rPr>
            </w:pPr>
            <w:r>
              <w:rPr>
                <w:b/>
              </w:rPr>
              <w:t>Comparison among rivers</w:t>
            </w:r>
          </w:p>
          <w:p w:rsidR="00033699" w:rsidRPr="008B16CC" w:rsidRDefault="00033699" w:rsidP="003F50DD">
            <w:pPr>
              <w:spacing w:after="0" w:line="240" w:lineRule="auto"/>
              <w:jc w:val="left"/>
              <w:rPr>
                <w:b/>
              </w:rPr>
            </w:pPr>
            <w:r>
              <w:rPr>
                <w:b/>
              </w:rPr>
              <w:t>over the whole study period (assessment of flow regime)</w:t>
            </w:r>
          </w:p>
        </w:tc>
      </w:tr>
      <w:tr w:rsidR="00033699" w:rsidRPr="00BF49C9" w:rsidTr="003F50DD">
        <w:trPr>
          <w:cnfStyle w:val="000000100000"/>
        </w:trPr>
        <w:tc>
          <w:tcPr>
            <w:tcW w:w="1830" w:type="dxa"/>
            <w:vAlign w:val="center"/>
          </w:tcPr>
          <w:p w:rsidR="00033699" w:rsidRPr="00431746" w:rsidRDefault="00033699" w:rsidP="003F50DD">
            <w:pPr>
              <w:spacing w:after="0" w:line="240" w:lineRule="auto"/>
              <w:jc w:val="left"/>
              <w:rPr>
                <w:b/>
                <w:sz w:val="20"/>
              </w:rPr>
            </w:pPr>
            <w:r w:rsidRPr="00431746">
              <w:rPr>
                <w:b/>
                <w:sz w:val="20"/>
              </w:rPr>
              <w:t>Water quality</w:t>
            </w:r>
          </w:p>
        </w:tc>
        <w:tc>
          <w:tcPr>
            <w:tcW w:w="1876" w:type="dxa"/>
            <w:vAlign w:val="center"/>
          </w:tcPr>
          <w:p w:rsidR="00033699" w:rsidRPr="00A04E00" w:rsidRDefault="00033699" w:rsidP="003F50DD">
            <w:pPr>
              <w:spacing w:after="0" w:line="240" w:lineRule="auto"/>
              <w:jc w:val="left"/>
              <w:rPr>
                <w:sz w:val="20"/>
              </w:rPr>
            </w:pPr>
            <w:r w:rsidRPr="006266E3">
              <w:rPr>
                <w:sz w:val="20"/>
              </w:rPr>
              <w:t>No response</w:t>
            </w:r>
            <w:r>
              <w:rPr>
                <w:sz w:val="20"/>
              </w:rPr>
              <w:t xml:space="preserve"> detected</w:t>
            </w:r>
          </w:p>
        </w:tc>
        <w:tc>
          <w:tcPr>
            <w:tcW w:w="1848" w:type="dxa"/>
            <w:vAlign w:val="center"/>
          </w:tcPr>
          <w:p w:rsidR="00033699" w:rsidRPr="006266E3" w:rsidRDefault="00033699" w:rsidP="003F50DD">
            <w:pPr>
              <w:spacing w:after="0" w:line="240" w:lineRule="auto"/>
              <w:jc w:val="left"/>
              <w:rPr>
                <w:sz w:val="20"/>
              </w:rPr>
            </w:pPr>
            <w:r w:rsidRPr="006266E3">
              <w:rPr>
                <w:sz w:val="20"/>
              </w:rPr>
              <w:t>No response</w:t>
            </w:r>
            <w:r>
              <w:rPr>
                <w:sz w:val="20"/>
              </w:rPr>
              <w:t xml:space="preserve"> detected</w:t>
            </w:r>
          </w:p>
        </w:tc>
        <w:tc>
          <w:tcPr>
            <w:tcW w:w="1833" w:type="dxa"/>
            <w:vAlign w:val="center"/>
          </w:tcPr>
          <w:p w:rsidR="00033699" w:rsidRPr="006266E3" w:rsidRDefault="00033699" w:rsidP="003F50DD">
            <w:pPr>
              <w:spacing w:after="0" w:line="240" w:lineRule="auto"/>
              <w:jc w:val="left"/>
              <w:rPr>
                <w:sz w:val="20"/>
              </w:rPr>
            </w:pPr>
            <w:r>
              <w:rPr>
                <w:sz w:val="20"/>
              </w:rPr>
              <w:t>Faster recovery of</w:t>
            </w:r>
            <w:r w:rsidRPr="006266E3">
              <w:rPr>
                <w:sz w:val="20"/>
              </w:rPr>
              <w:t xml:space="preserve"> dissolved oxygen in rivers receiving </w:t>
            </w:r>
            <w:r>
              <w:rPr>
                <w:sz w:val="20"/>
              </w:rPr>
              <w:t>environmental water</w:t>
            </w:r>
          </w:p>
        </w:tc>
        <w:tc>
          <w:tcPr>
            <w:tcW w:w="1680" w:type="dxa"/>
            <w:vAlign w:val="center"/>
          </w:tcPr>
          <w:p w:rsidR="00033699" w:rsidRPr="006266E3" w:rsidRDefault="00033699" w:rsidP="003F50DD">
            <w:pPr>
              <w:spacing w:after="0" w:line="240" w:lineRule="auto"/>
              <w:jc w:val="left"/>
              <w:rPr>
                <w:sz w:val="20"/>
              </w:rPr>
            </w:pPr>
            <w:r>
              <w:rPr>
                <w:sz w:val="20"/>
              </w:rPr>
              <w:t xml:space="preserve">No marked differences except </w:t>
            </w:r>
            <w:r w:rsidRPr="006C30B1">
              <w:rPr>
                <w:sz w:val="20"/>
              </w:rPr>
              <w:t xml:space="preserve">higher DO peaks in </w:t>
            </w:r>
            <w:proofErr w:type="spellStart"/>
            <w:r w:rsidRPr="006C30B1">
              <w:rPr>
                <w:sz w:val="20"/>
              </w:rPr>
              <w:t>Colligen</w:t>
            </w:r>
            <w:proofErr w:type="spellEnd"/>
            <w:r w:rsidRPr="006C30B1">
              <w:rPr>
                <w:sz w:val="20"/>
              </w:rPr>
              <w:t xml:space="preserve"> Ck and lower dips in </w:t>
            </w:r>
            <w:proofErr w:type="spellStart"/>
            <w:r w:rsidRPr="006C30B1">
              <w:rPr>
                <w:sz w:val="20"/>
              </w:rPr>
              <w:t>Yallakool</w:t>
            </w:r>
            <w:proofErr w:type="spellEnd"/>
            <w:r w:rsidRPr="006C30B1">
              <w:rPr>
                <w:sz w:val="20"/>
              </w:rPr>
              <w:t xml:space="preserve"> Ck Sept - Feb</w:t>
            </w:r>
            <w:r>
              <w:rPr>
                <w:sz w:val="20"/>
              </w:rPr>
              <w:t xml:space="preserve"> </w:t>
            </w:r>
          </w:p>
        </w:tc>
      </w:tr>
      <w:tr w:rsidR="00033699" w:rsidRPr="00BF49C9" w:rsidTr="003F50DD">
        <w:trPr>
          <w:cnfStyle w:val="000000010000"/>
        </w:trPr>
        <w:tc>
          <w:tcPr>
            <w:tcW w:w="1830" w:type="dxa"/>
            <w:vAlign w:val="center"/>
          </w:tcPr>
          <w:p w:rsidR="00033699" w:rsidRPr="00431746" w:rsidRDefault="00033699" w:rsidP="003F50DD">
            <w:pPr>
              <w:spacing w:after="0" w:line="240" w:lineRule="auto"/>
              <w:jc w:val="left"/>
              <w:rPr>
                <w:b/>
                <w:sz w:val="20"/>
              </w:rPr>
            </w:pPr>
            <w:r w:rsidRPr="00431746">
              <w:rPr>
                <w:b/>
                <w:sz w:val="20"/>
              </w:rPr>
              <w:t>DOC/POC</w:t>
            </w:r>
          </w:p>
        </w:tc>
        <w:tc>
          <w:tcPr>
            <w:tcW w:w="1876" w:type="dxa"/>
            <w:vAlign w:val="center"/>
          </w:tcPr>
          <w:p w:rsidR="00033699" w:rsidRPr="00A04E00" w:rsidRDefault="00033699" w:rsidP="003F50DD">
            <w:pPr>
              <w:spacing w:after="0" w:line="240" w:lineRule="auto"/>
              <w:jc w:val="left"/>
              <w:rPr>
                <w:sz w:val="20"/>
              </w:rPr>
            </w:pPr>
            <w:r w:rsidRPr="006266E3">
              <w:rPr>
                <w:sz w:val="20"/>
              </w:rPr>
              <w:t>No response</w:t>
            </w:r>
            <w:r>
              <w:rPr>
                <w:sz w:val="20"/>
              </w:rPr>
              <w:t xml:space="preserve"> detected</w:t>
            </w:r>
          </w:p>
        </w:tc>
        <w:tc>
          <w:tcPr>
            <w:tcW w:w="1848" w:type="dxa"/>
            <w:vAlign w:val="center"/>
          </w:tcPr>
          <w:p w:rsidR="00033699" w:rsidRPr="006266E3" w:rsidRDefault="00033699" w:rsidP="003F50DD">
            <w:pPr>
              <w:spacing w:after="0" w:line="240" w:lineRule="auto"/>
              <w:jc w:val="left"/>
              <w:rPr>
                <w:sz w:val="20"/>
              </w:rPr>
            </w:pPr>
            <w:r w:rsidRPr="006266E3">
              <w:rPr>
                <w:sz w:val="20"/>
              </w:rPr>
              <w:t>No response</w:t>
            </w:r>
            <w:r>
              <w:rPr>
                <w:sz w:val="20"/>
              </w:rPr>
              <w:t xml:space="preserve"> detected</w:t>
            </w:r>
          </w:p>
        </w:tc>
        <w:tc>
          <w:tcPr>
            <w:tcW w:w="1833" w:type="dxa"/>
            <w:vAlign w:val="center"/>
          </w:tcPr>
          <w:p w:rsidR="00033699" w:rsidRPr="006266E3" w:rsidRDefault="00033699" w:rsidP="003F50DD">
            <w:pPr>
              <w:spacing w:after="0" w:line="240" w:lineRule="auto"/>
              <w:jc w:val="left"/>
              <w:rPr>
                <w:sz w:val="20"/>
              </w:rPr>
            </w:pPr>
            <w:r w:rsidRPr="006266E3">
              <w:rPr>
                <w:sz w:val="20"/>
              </w:rPr>
              <w:t xml:space="preserve">DOC levels reduced </w:t>
            </w:r>
            <w:r>
              <w:rPr>
                <w:sz w:val="20"/>
              </w:rPr>
              <w:t>earlier</w:t>
            </w:r>
            <w:r w:rsidRPr="006266E3">
              <w:rPr>
                <w:sz w:val="20"/>
              </w:rPr>
              <w:t xml:space="preserve"> in systems that received </w:t>
            </w:r>
            <w:r>
              <w:rPr>
                <w:sz w:val="20"/>
              </w:rPr>
              <w:t>environmental water</w:t>
            </w:r>
          </w:p>
        </w:tc>
        <w:tc>
          <w:tcPr>
            <w:tcW w:w="1680" w:type="dxa"/>
            <w:vAlign w:val="center"/>
          </w:tcPr>
          <w:p w:rsidR="00033699" w:rsidRPr="006266E3" w:rsidRDefault="00033699" w:rsidP="003F50DD">
            <w:pPr>
              <w:spacing w:after="0" w:line="240" w:lineRule="auto"/>
              <w:jc w:val="left"/>
              <w:rPr>
                <w:sz w:val="20"/>
              </w:rPr>
            </w:pPr>
            <w:r>
              <w:rPr>
                <w:sz w:val="20"/>
              </w:rPr>
              <w:t>N/A</w:t>
            </w:r>
          </w:p>
        </w:tc>
      </w:tr>
      <w:tr w:rsidR="00033699" w:rsidRPr="00BF49C9" w:rsidTr="003F50DD">
        <w:trPr>
          <w:cnfStyle w:val="000000100000"/>
        </w:trPr>
        <w:tc>
          <w:tcPr>
            <w:tcW w:w="1830" w:type="dxa"/>
            <w:vAlign w:val="center"/>
          </w:tcPr>
          <w:p w:rsidR="00033699" w:rsidRPr="00431746" w:rsidRDefault="00033699" w:rsidP="003F50DD">
            <w:pPr>
              <w:spacing w:after="0" w:line="240" w:lineRule="auto"/>
              <w:jc w:val="left"/>
              <w:rPr>
                <w:b/>
                <w:sz w:val="20"/>
              </w:rPr>
            </w:pPr>
            <w:r w:rsidRPr="00431746">
              <w:rPr>
                <w:b/>
                <w:sz w:val="20"/>
              </w:rPr>
              <w:t xml:space="preserve">Organic matter </w:t>
            </w:r>
          </w:p>
        </w:tc>
        <w:tc>
          <w:tcPr>
            <w:tcW w:w="1876" w:type="dxa"/>
            <w:vAlign w:val="center"/>
          </w:tcPr>
          <w:p w:rsidR="00033699" w:rsidRPr="00A04E00" w:rsidRDefault="00033699" w:rsidP="003F50DD">
            <w:pPr>
              <w:spacing w:after="0" w:line="240" w:lineRule="auto"/>
              <w:jc w:val="left"/>
              <w:rPr>
                <w:sz w:val="20"/>
              </w:rPr>
            </w:pPr>
            <w:r w:rsidRPr="00A04E00">
              <w:rPr>
                <w:sz w:val="20"/>
              </w:rPr>
              <w:t>Slight decrease</w:t>
            </w:r>
            <w:r>
              <w:rPr>
                <w:sz w:val="20"/>
              </w:rPr>
              <w:t xml:space="preserve"> in </w:t>
            </w:r>
            <w:proofErr w:type="spellStart"/>
            <w:r>
              <w:rPr>
                <w:sz w:val="20"/>
              </w:rPr>
              <w:t>Colligen</w:t>
            </w:r>
            <w:proofErr w:type="spellEnd"/>
            <w:r w:rsidRPr="00A04E00">
              <w:rPr>
                <w:sz w:val="20"/>
              </w:rPr>
              <w:t xml:space="preserve"> during peak flow</w:t>
            </w:r>
          </w:p>
        </w:tc>
        <w:tc>
          <w:tcPr>
            <w:tcW w:w="1848" w:type="dxa"/>
            <w:vAlign w:val="center"/>
          </w:tcPr>
          <w:p w:rsidR="00033699" w:rsidRPr="006266E3" w:rsidRDefault="00033699" w:rsidP="003F50DD">
            <w:pPr>
              <w:spacing w:after="0" w:line="240" w:lineRule="auto"/>
              <w:jc w:val="left"/>
              <w:rPr>
                <w:sz w:val="20"/>
              </w:rPr>
            </w:pPr>
            <w:r w:rsidRPr="006266E3">
              <w:rPr>
                <w:sz w:val="20"/>
              </w:rPr>
              <w:t>No response</w:t>
            </w:r>
            <w:r>
              <w:rPr>
                <w:sz w:val="20"/>
              </w:rPr>
              <w:t xml:space="preserve"> detected</w:t>
            </w:r>
          </w:p>
        </w:tc>
        <w:tc>
          <w:tcPr>
            <w:tcW w:w="1833" w:type="dxa"/>
            <w:vAlign w:val="center"/>
          </w:tcPr>
          <w:p w:rsidR="00033699" w:rsidRPr="006266E3" w:rsidRDefault="00033699" w:rsidP="003F50DD">
            <w:pPr>
              <w:spacing w:after="0" w:line="240" w:lineRule="auto"/>
              <w:jc w:val="left"/>
              <w:rPr>
                <w:sz w:val="20"/>
              </w:rPr>
            </w:pPr>
            <w:r w:rsidRPr="006266E3">
              <w:rPr>
                <w:sz w:val="20"/>
              </w:rPr>
              <w:t xml:space="preserve">Carbon load reduced </w:t>
            </w:r>
            <w:r>
              <w:rPr>
                <w:sz w:val="20"/>
              </w:rPr>
              <w:t>earlier</w:t>
            </w:r>
            <w:r w:rsidRPr="006266E3">
              <w:rPr>
                <w:sz w:val="20"/>
              </w:rPr>
              <w:t xml:space="preserve"> in systems </w:t>
            </w:r>
            <w:r>
              <w:rPr>
                <w:sz w:val="20"/>
              </w:rPr>
              <w:t>receiving</w:t>
            </w:r>
            <w:r w:rsidRPr="006266E3">
              <w:rPr>
                <w:sz w:val="20"/>
              </w:rPr>
              <w:t xml:space="preserve"> </w:t>
            </w:r>
            <w:r>
              <w:rPr>
                <w:sz w:val="20"/>
              </w:rPr>
              <w:t>e-water</w:t>
            </w:r>
          </w:p>
        </w:tc>
        <w:tc>
          <w:tcPr>
            <w:tcW w:w="1680" w:type="dxa"/>
            <w:vAlign w:val="center"/>
          </w:tcPr>
          <w:p w:rsidR="00033699" w:rsidRPr="006266E3" w:rsidRDefault="00033699" w:rsidP="003F50DD">
            <w:pPr>
              <w:spacing w:after="0" w:line="240" w:lineRule="auto"/>
              <w:jc w:val="left"/>
              <w:rPr>
                <w:sz w:val="20"/>
              </w:rPr>
            </w:pPr>
            <w:r>
              <w:rPr>
                <w:sz w:val="20"/>
              </w:rPr>
              <w:t>N/A</w:t>
            </w:r>
          </w:p>
        </w:tc>
      </w:tr>
      <w:tr w:rsidR="00033699" w:rsidRPr="00BF49C9" w:rsidTr="003F50DD">
        <w:trPr>
          <w:cnfStyle w:val="000000010000"/>
        </w:trPr>
        <w:tc>
          <w:tcPr>
            <w:tcW w:w="1830" w:type="dxa"/>
            <w:vAlign w:val="center"/>
          </w:tcPr>
          <w:p w:rsidR="00033699" w:rsidRPr="00431746" w:rsidRDefault="00033699" w:rsidP="003F50DD">
            <w:pPr>
              <w:spacing w:after="0" w:line="240" w:lineRule="auto"/>
              <w:jc w:val="left"/>
              <w:rPr>
                <w:rFonts w:cs="Arial"/>
                <w:b/>
                <w:color w:val="000000"/>
                <w:sz w:val="20"/>
              </w:rPr>
            </w:pPr>
            <w:r w:rsidRPr="00431746">
              <w:rPr>
                <w:rFonts w:cs="Arial"/>
                <w:b/>
                <w:color w:val="000000"/>
                <w:sz w:val="20"/>
              </w:rPr>
              <w:t xml:space="preserve">Phytoplankton biomass </w:t>
            </w:r>
          </w:p>
        </w:tc>
        <w:tc>
          <w:tcPr>
            <w:tcW w:w="1876" w:type="dxa"/>
            <w:vAlign w:val="center"/>
          </w:tcPr>
          <w:p w:rsidR="00033699" w:rsidRPr="00A04E00" w:rsidRDefault="00033699" w:rsidP="003F50DD">
            <w:pPr>
              <w:spacing w:after="0" w:line="240" w:lineRule="auto"/>
              <w:jc w:val="left"/>
              <w:rPr>
                <w:sz w:val="20"/>
              </w:rPr>
            </w:pPr>
            <w:r w:rsidRPr="00A04E00">
              <w:rPr>
                <w:sz w:val="20"/>
              </w:rPr>
              <w:t xml:space="preserve">Biomass in </w:t>
            </w:r>
            <w:proofErr w:type="spellStart"/>
            <w:r w:rsidRPr="00A04E00">
              <w:rPr>
                <w:sz w:val="20"/>
              </w:rPr>
              <w:t>Colligen</w:t>
            </w:r>
            <w:proofErr w:type="spellEnd"/>
            <w:r w:rsidRPr="00A04E00">
              <w:rPr>
                <w:sz w:val="20"/>
              </w:rPr>
              <w:t xml:space="preserve"> Ck remained stable after the e</w:t>
            </w:r>
            <w:r>
              <w:rPr>
                <w:sz w:val="20"/>
              </w:rPr>
              <w:t>-</w:t>
            </w:r>
            <w:r w:rsidRPr="00A04E00">
              <w:rPr>
                <w:sz w:val="20"/>
              </w:rPr>
              <w:t xml:space="preserve">watering </w:t>
            </w:r>
            <w:r>
              <w:rPr>
                <w:sz w:val="20"/>
              </w:rPr>
              <w:t>but</w:t>
            </w:r>
            <w:r w:rsidRPr="00A04E00">
              <w:rPr>
                <w:sz w:val="20"/>
              </w:rPr>
              <w:t xml:space="preserve"> </w:t>
            </w:r>
            <w:r>
              <w:rPr>
                <w:sz w:val="20"/>
              </w:rPr>
              <w:t>reduced</w:t>
            </w:r>
            <w:r w:rsidRPr="00A04E00">
              <w:rPr>
                <w:sz w:val="20"/>
              </w:rPr>
              <w:t xml:space="preserve"> in other </w:t>
            </w:r>
            <w:r>
              <w:rPr>
                <w:sz w:val="20"/>
              </w:rPr>
              <w:t xml:space="preserve">three </w:t>
            </w:r>
            <w:r w:rsidRPr="00A04E00">
              <w:rPr>
                <w:sz w:val="20"/>
              </w:rPr>
              <w:t>rivers</w:t>
            </w:r>
          </w:p>
        </w:tc>
        <w:tc>
          <w:tcPr>
            <w:tcW w:w="1848" w:type="dxa"/>
            <w:vAlign w:val="center"/>
          </w:tcPr>
          <w:p w:rsidR="00033699" w:rsidRPr="006266E3" w:rsidRDefault="00033699" w:rsidP="003F50DD">
            <w:pPr>
              <w:spacing w:after="0" w:line="240" w:lineRule="auto"/>
              <w:jc w:val="left"/>
              <w:rPr>
                <w:sz w:val="20"/>
              </w:rPr>
            </w:pPr>
            <w:r w:rsidRPr="006266E3">
              <w:rPr>
                <w:sz w:val="20"/>
              </w:rPr>
              <w:t>No response</w:t>
            </w:r>
            <w:r>
              <w:rPr>
                <w:sz w:val="20"/>
              </w:rPr>
              <w:t xml:space="preserve"> detected</w:t>
            </w:r>
          </w:p>
        </w:tc>
        <w:tc>
          <w:tcPr>
            <w:tcW w:w="1833" w:type="dxa"/>
            <w:vAlign w:val="center"/>
          </w:tcPr>
          <w:p w:rsidR="00033699" w:rsidRPr="006266E3" w:rsidRDefault="00033699" w:rsidP="003F50DD">
            <w:pPr>
              <w:spacing w:after="0" w:line="240" w:lineRule="auto"/>
              <w:jc w:val="left"/>
              <w:rPr>
                <w:sz w:val="20"/>
              </w:rPr>
            </w:pPr>
            <w:r>
              <w:rPr>
                <w:sz w:val="20"/>
              </w:rPr>
              <w:t>Biomass maintained</w:t>
            </w:r>
            <w:r w:rsidRPr="00A04E00">
              <w:rPr>
                <w:sz w:val="20"/>
              </w:rPr>
              <w:t xml:space="preserve"> </w:t>
            </w:r>
            <w:r w:rsidRPr="006266E3">
              <w:rPr>
                <w:sz w:val="20"/>
              </w:rPr>
              <w:t xml:space="preserve">in the systems </w:t>
            </w:r>
            <w:r>
              <w:rPr>
                <w:sz w:val="20"/>
              </w:rPr>
              <w:t>receiving</w:t>
            </w:r>
            <w:r w:rsidRPr="006266E3">
              <w:rPr>
                <w:sz w:val="20"/>
              </w:rPr>
              <w:t xml:space="preserve"> </w:t>
            </w:r>
            <w:r>
              <w:rPr>
                <w:sz w:val="20"/>
              </w:rPr>
              <w:t>e-water but</w:t>
            </w:r>
            <w:r w:rsidRPr="00A04E00">
              <w:rPr>
                <w:sz w:val="20"/>
              </w:rPr>
              <w:t xml:space="preserve"> </w:t>
            </w:r>
            <w:r>
              <w:rPr>
                <w:sz w:val="20"/>
              </w:rPr>
              <w:t>reduced</w:t>
            </w:r>
            <w:r w:rsidRPr="00A04E00">
              <w:rPr>
                <w:sz w:val="20"/>
              </w:rPr>
              <w:t xml:space="preserve"> in </w:t>
            </w:r>
            <w:r>
              <w:rPr>
                <w:sz w:val="20"/>
              </w:rPr>
              <w:t xml:space="preserve">Little </w:t>
            </w:r>
            <w:proofErr w:type="spellStart"/>
            <w:r>
              <w:rPr>
                <w:sz w:val="20"/>
              </w:rPr>
              <w:t>Merran</w:t>
            </w:r>
            <w:proofErr w:type="spellEnd"/>
            <w:r>
              <w:rPr>
                <w:sz w:val="20"/>
              </w:rPr>
              <w:t xml:space="preserve"> Ck</w:t>
            </w:r>
          </w:p>
        </w:tc>
        <w:tc>
          <w:tcPr>
            <w:tcW w:w="1680" w:type="dxa"/>
            <w:vAlign w:val="center"/>
          </w:tcPr>
          <w:p w:rsidR="00033699" w:rsidRDefault="00033699" w:rsidP="003F50DD">
            <w:pPr>
              <w:spacing w:after="0" w:line="240" w:lineRule="auto"/>
              <w:jc w:val="left"/>
              <w:rPr>
                <w:sz w:val="20"/>
              </w:rPr>
            </w:pPr>
            <w:r w:rsidRPr="009F001C">
              <w:rPr>
                <w:sz w:val="20"/>
              </w:rPr>
              <w:t xml:space="preserve">Little </w:t>
            </w:r>
            <w:proofErr w:type="spellStart"/>
            <w:r w:rsidRPr="009F001C">
              <w:rPr>
                <w:sz w:val="20"/>
              </w:rPr>
              <w:t>Merran</w:t>
            </w:r>
            <w:proofErr w:type="spellEnd"/>
            <w:r w:rsidRPr="009F001C">
              <w:rPr>
                <w:sz w:val="20"/>
              </w:rPr>
              <w:t xml:space="preserve"> Ck </w:t>
            </w:r>
            <w:r>
              <w:rPr>
                <w:sz w:val="20"/>
              </w:rPr>
              <w:t xml:space="preserve">significantly </w:t>
            </w:r>
            <w:r w:rsidRPr="009F001C">
              <w:rPr>
                <w:sz w:val="20"/>
              </w:rPr>
              <w:t>higher biomass than other three rivers</w:t>
            </w:r>
          </w:p>
        </w:tc>
      </w:tr>
      <w:tr w:rsidR="00033699" w:rsidRPr="00BF49C9" w:rsidTr="003F50DD">
        <w:trPr>
          <w:cnfStyle w:val="000000100000"/>
        </w:trPr>
        <w:tc>
          <w:tcPr>
            <w:tcW w:w="1830" w:type="dxa"/>
            <w:vAlign w:val="center"/>
          </w:tcPr>
          <w:p w:rsidR="00033699" w:rsidRPr="00431746" w:rsidRDefault="00033699" w:rsidP="003F50DD">
            <w:pPr>
              <w:spacing w:after="0" w:line="240" w:lineRule="auto"/>
              <w:jc w:val="left"/>
              <w:rPr>
                <w:rFonts w:cs="Arial"/>
                <w:b/>
                <w:color w:val="000000"/>
                <w:sz w:val="20"/>
              </w:rPr>
            </w:pPr>
            <w:proofErr w:type="spellStart"/>
            <w:r w:rsidRPr="00431746">
              <w:rPr>
                <w:rFonts w:cs="Arial"/>
                <w:b/>
                <w:color w:val="000000"/>
                <w:sz w:val="20"/>
              </w:rPr>
              <w:t>Biofilm</w:t>
            </w:r>
            <w:proofErr w:type="spellEnd"/>
            <w:r w:rsidRPr="00431746">
              <w:rPr>
                <w:rFonts w:cs="Arial"/>
                <w:b/>
                <w:color w:val="000000"/>
                <w:sz w:val="20"/>
              </w:rPr>
              <w:t xml:space="preserve"> biomass</w:t>
            </w:r>
          </w:p>
        </w:tc>
        <w:tc>
          <w:tcPr>
            <w:tcW w:w="1876" w:type="dxa"/>
            <w:vAlign w:val="center"/>
          </w:tcPr>
          <w:p w:rsidR="00033699" w:rsidRPr="00A625FE" w:rsidRDefault="00033699" w:rsidP="003F50DD">
            <w:pPr>
              <w:spacing w:after="0" w:line="240" w:lineRule="auto"/>
              <w:jc w:val="left"/>
              <w:rPr>
                <w:sz w:val="20"/>
              </w:rPr>
            </w:pPr>
            <w:r>
              <w:rPr>
                <w:sz w:val="20"/>
              </w:rPr>
              <w:t>Algal biomass</w:t>
            </w:r>
            <w:r w:rsidRPr="00A625FE">
              <w:rPr>
                <w:sz w:val="20"/>
              </w:rPr>
              <w:t xml:space="preserve"> </w:t>
            </w:r>
            <w:r>
              <w:rPr>
                <w:sz w:val="20"/>
              </w:rPr>
              <w:t xml:space="preserve">was </w:t>
            </w:r>
            <w:r w:rsidRPr="00A625FE">
              <w:rPr>
                <w:sz w:val="20"/>
              </w:rPr>
              <w:t xml:space="preserve">maintained in </w:t>
            </w:r>
            <w:proofErr w:type="spellStart"/>
            <w:r w:rsidRPr="00A625FE">
              <w:rPr>
                <w:sz w:val="20"/>
              </w:rPr>
              <w:t>Colligen</w:t>
            </w:r>
            <w:proofErr w:type="spellEnd"/>
            <w:r w:rsidRPr="00A625FE">
              <w:rPr>
                <w:sz w:val="20"/>
              </w:rPr>
              <w:t xml:space="preserve"> Ck</w:t>
            </w:r>
            <w:r>
              <w:rPr>
                <w:sz w:val="20"/>
              </w:rPr>
              <w:t xml:space="preserve"> </w:t>
            </w:r>
            <w:r w:rsidRPr="00A625FE">
              <w:rPr>
                <w:sz w:val="20"/>
              </w:rPr>
              <w:t xml:space="preserve">but increased in Wakool R and </w:t>
            </w:r>
            <w:proofErr w:type="spellStart"/>
            <w:r w:rsidRPr="00A625FE">
              <w:rPr>
                <w:sz w:val="20"/>
              </w:rPr>
              <w:t>Yallakool</w:t>
            </w:r>
            <w:proofErr w:type="spellEnd"/>
            <w:r w:rsidRPr="00A625FE">
              <w:rPr>
                <w:sz w:val="20"/>
              </w:rPr>
              <w:t xml:space="preserve"> Ck</w:t>
            </w:r>
          </w:p>
        </w:tc>
        <w:tc>
          <w:tcPr>
            <w:tcW w:w="1848" w:type="dxa"/>
            <w:vAlign w:val="center"/>
          </w:tcPr>
          <w:p w:rsidR="00033699" w:rsidRPr="00846A27" w:rsidRDefault="00033699" w:rsidP="003F50DD">
            <w:pPr>
              <w:spacing w:after="0" w:line="240" w:lineRule="auto"/>
              <w:jc w:val="left"/>
              <w:rPr>
                <w:sz w:val="20"/>
              </w:rPr>
            </w:pPr>
            <w:r>
              <w:rPr>
                <w:sz w:val="20"/>
              </w:rPr>
              <w:t>N/A</w:t>
            </w:r>
          </w:p>
        </w:tc>
        <w:tc>
          <w:tcPr>
            <w:tcW w:w="1833" w:type="dxa"/>
            <w:vAlign w:val="center"/>
          </w:tcPr>
          <w:p w:rsidR="00033699" w:rsidRPr="00846A27" w:rsidRDefault="00033699" w:rsidP="003F50DD">
            <w:pPr>
              <w:spacing w:after="0" w:line="240" w:lineRule="auto"/>
              <w:jc w:val="left"/>
              <w:rPr>
                <w:sz w:val="20"/>
              </w:rPr>
            </w:pPr>
            <w:r w:rsidRPr="00846A27">
              <w:rPr>
                <w:sz w:val="20"/>
              </w:rPr>
              <w:t>N/A</w:t>
            </w:r>
          </w:p>
        </w:tc>
        <w:tc>
          <w:tcPr>
            <w:tcW w:w="1680" w:type="dxa"/>
            <w:vAlign w:val="center"/>
          </w:tcPr>
          <w:p w:rsidR="00033699" w:rsidRPr="00846A27" w:rsidRDefault="00033699" w:rsidP="003F50DD">
            <w:pPr>
              <w:spacing w:after="0" w:line="240" w:lineRule="auto"/>
              <w:jc w:val="left"/>
              <w:rPr>
                <w:sz w:val="20"/>
              </w:rPr>
            </w:pPr>
            <w:r>
              <w:rPr>
                <w:sz w:val="20"/>
              </w:rPr>
              <w:t xml:space="preserve"> N/A</w:t>
            </w:r>
          </w:p>
        </w:tc>
      </w:tr>
      <w:tr w:rsidR="00033699" w:rsidRPr="00BF49C9" w:rsidTr="003F50DD">
        <w:trPr>
          <w:cnfStyle w:val="000000010000"/>
        </w:trPr>
        <w:tc>
          <w:tcPr>
            <w:tcW w:w="1830" w:type="dxa"/>
            <w:vAlign w:val="center"/>
          </w:tcPr>
          <w:p w:rsidR="00033699" w:rsidRPr="00431746" w:rsidRDefault="00033699" w:rsidP="003F50DD">
            <w:pPr>
              <w:spacing w:after="0" w:line="240" w:lineRule="auto"/>
              <w:jc w:val="left"/>
              <w:rPr>
                <w:rFonts w:cs="Arial"/>
                <w:b/>
                <w:color w:val="000000"/>
                <w:sz w:val="20"/>
              </w:rPr>
            </w:pPr>
            <w:proofErr w:type="spellStart"/>
            <w:r w:rsidRPr="00431746">
              <w:rPr>
                <w:rFonts w:cs="Arial"/>
                <w:b/>
                <w:color w:val="000000"/>
                <w:sz w:val="20"/>
              </w:rPr>
              <w:t>Biofilm</w:t>
            </w:r>
            <w:proofErr w:type="spellEnd"/>
            <w:r w:rsidRPr="00431746">
              <w:rPr>
                <w:rFonts w:cs="Arial"/>
                <w:b/>
                <w:color w:val="000000"/>
                <w:sz w:val="20"/>
              </w:rPr>
              <w:t xml:space="preserve"> diversity</w:t>
            </w:r>
          </w:p>
        </w:tc>
        <w:tc>
          <w:tcPr>
            <w:tcW w:w="1876" w:type="dxa"/>
            <w:vAlign w:val="center"/>
          </w:tcPr>
          <w:p w:rsidR="00033699" w:rsidRPr="00A625FE" w:rsidRDefault="00033699" w:rsidP="003F50DD">
            <w:pPr>
              <w:spacing w:after="0" w:line="240" w:lineRule="auto"/>
              <w:jc w:val="left"/>
              <w:rPr>
                <w:sz w:val="20"/>
              </w:rPr>
            </w:pPr>
            <w:r w:rsidRPr="00A625FE">
              <w:rPr>
                <w:sz w:val="20"/>
              </w:rPr>
              <w:t xml:space="preserve">Increase in early </w:t>
            </w:r>
            <w:proofErr w:type="spellStart"/>
            <w:r w:rsidRPr="00A625FE">
              <w:rPr>
                <w:sz w:val="20"/>
              </w:rPr>
              <w:t>successional</w:t>
            </w:r>
            <w:proofErr w:type="spellEnd"/>
            <w:r w:rsidRPr="00A625FE">
              <w:rPr>
                <w:sz w:val="20"/>
              </w:rPr>
              <w:t xml:space="preserve"> diatoms</w:t>
            </w:r>
            <w:r>
              <w:rPr>
                <w:sz w:val="20"/>
              </w:rPr>
              <w:t xml:space="preserve"> in </w:t>
            </w:r>
            <w:proofErr w:type="spellStart"/>
            <w:r>
              <w:rPr>
                <w:sz w:val="20"/>
              </w:rPr>
              <w:t>Colligen</w:t>
            </w:r>
            <w:proofErr w:type="spellEnd"/>
            <w:r>
              <w:rPr>
                <w:sz w:val="20"/>
              </w:rPr>
              <w:t xml:space="preserve"> Creek</w:t>
            </w:r>
          </w:p>
        </w:tc>
        <w:tc>
          <w:tcPr>
            <w:tcW w:w="1848" w:type="dxa"/>
            <w:vAlign w:val="center"/>
          </w:tcPr>
          <w:p w:rsidR="00033699" w:rsidRPr="00846A27" w:rsidRDefault="00033699" w:rsidP="003F50DD">
            <w:pPr>
              <w:spacing w:after="0" w:line="240" w:lineRule="auto"/>
              <w:jc w:val="left"/>
              <w:rPr>
                <w:sz w:val="20"/>
              </w:rPr>
            </w:pPr>
            <w:r>
              <w:rPr>
                <w:sz w:val="20"/>
              </w:rPr>
              <w:t>N/A</w:t>
            </w:r>
          </w:p>
        </w:tc>
        <w:tc>
          <w:tcPr>
            <w:tcW w:w="1833" w:type="dxa"/>
            <w:vAlign w:val="center"/>
          </w:tcPr>
          <w:p w:rsidR="00033699" w:rsidRPr="00846A27" w:rsidRDefault="00033699" w:rsidP="003F50DD">
            <w:pPr>
              <w:spacing w:after="0" w:line="240" w:lineRule="auto"/>
              <w:jc w:val="left"/>
              <w:rPr>
                <w:sz w:val="20"/>
              </w:rPr>
            </w:pPr>
            <w:r w:rsidRPr="00846A27">
              <w:rPr>
                <w:sz w:val="20"/>
              </w:rPr>
              <w:t>N/A</w:t>
            </w:r>
          </w:p>
        </w:tc>
        <w:tc>
          <w:tcPr>
            <w:tcW w:w="1680" w:type="dxa"/>
            <w:vAlign w:val="center"/>
          </w:tcPr>
          <w:p w:rsidR="00033699" w:rsidRPr="00846A27" w:rsidRDefault="00033699" w:rsidP="003F50DD">
            <w:pPr>
              <w:spacing w:after="0" w:line="240" w:lineRule="auto"/>
              <w:jc w:val="left"/>
              <w:rPr>
                <w:sz w:val="20"/>
              </w:rPr>
            </w:pPr>
            <w:r>
              <w:rPr>
                <w:sz w:val="20"/>
              </w:rPr>
              <w:t>N/A</w:t>
            </w:r>
          </w:p>
        </w:tc>
      </w:tr>
      <w:tr w:rsidR="00033699" w:rsidRPr="00BF49C9" w:rsidTr="003F50DD">
        <w:trPr>
          <w:cnfStyle w:val="000000100000"/>
        </w:trPr>
        <w:tc>
          <w:tcPr>
            <w:tcW w:w="1830" w:type="dxa"/>
            <w:vAlign w:val="center"/>
          </w:tcPr>
          <w:p w:rsidR="00033699" w:rsidRPr="00431746" w:rsidRDefault="00033699" w:rsidP="003F50DD">
            <w:pPr>
              <w:spacing w:after="0" w:line="240" w:lineRule="auto"/>
              <w:jc w:val="left"/>
              <w:rPr>
                <w:rFonts w:cs="Arial"/>
                <w:b/>
                <w:color w:val="000000"/>
                <w:sz w:val="20"/>
              </w:rPr>
            </w:pPr>
            <w:r w:rsidRPr="00431746">
              <w:rPr>
                <w:rFonts w:cs="Arial"/>
                <w:b/>
                <w:color w:val="000000"/>
                <w:sz w:val="20"/>
              </w:rPr>
              <w:t>Whole stream metabolism</w:t>
            </w:r>
          </w:p>
        </w:tc>
        <w:tc>
          <w:tcPr>
            <w:tcW w:w="1876" w:type="dxa"/>
            <w:vAlign w:val="center"/>
          </w:tcPr>
          <w:p w:rsidR="00033699" w:rsidRPr="00A625FE" w:rsidRDefault="00033699" w:rsidP="003F50DD">
            <w:pPr>
              <w:spacing w:after="0" w:line="240" w:lineRule="auto"/>
              <w:jc w:val="left"/>
              <w:rPr>
                <w:sz w:val="20"/>
              </w:rPr>
            </w:pPr>
            <w:r w:rsidRPr="006266E3">
              <w:rPr>
                <w:sz w:val="20"/>
              </w:rPr>
              <w:t>No response</w:t>
            </w:r>
            <w:r>
              <w:rPr>
                <w:sz w:val="20"/>
              </w:rPr>
              <w:t xml:space="preserve"> detected</w:t>
            </w:r>
          </w:p>
        </w:tc>
        <w:tc>
          <w:tcPr>
            <w:tcW w:w="1848" w:type="dxa"/>
            <w:vAlign w:val="center"/>
          </w:tcPr>
          <w:p w:rsidR="00033699" w:rsidRPr="006266E3" w:rsidRDefault="00033699" w:rsidP="003F50DD">
            <w:pPr>
              <w:spacing w:after="0" w:line="240" w:lineRule="auto"/>
              <w:jc w:val="left"/>
              <w:rPr>
                <w:sz w:val="20"/>
              </w:rPr>
            </w:pPr>
            <w:r w:rsidRPr="006266E3">
              <w:rPr>
                <w:sz w:val="20"/>
              </w:rPr>
              <w:t>No response</w:t>
            </w:r>
            <w:r>
              <w:rPr>
                <w:sz w:val="20"/>
              </w:rPr>
              <w:t xml:space="preserve"> detected</w:t>
            </w:r>
          </w:p>
        </w:tc>
        <w:tc>
          <w:tcPr>
            <w:tcW w:w="1833" w:type="dxa"/>
            <w:vAlign w:val="center"/>
          </w:tcPr>
          <w:p w:rsidR="00033699" w:rsidRPr="00A04E00" w:rsidRDefault="00033699" w:rsidP="003F50DD">
            <w:pPr>
              <w:spacing w:after="0" w:line="240" w:lineRule="auto"/>
              <w:jc w:val="left"/>
              <w:rPr>
                <w:sz w:val="20"/>
              </w:rPr>
            </w:pPr>
            <w:r w:rsidRPr="00A04E00">
              <w:rPr>
                <w:color w:val="000000" w:themeColor="text1"/>
                <w:sz w:val="20"/>
                <w:lang w:val="en-US"/>
              </w:rPr>
              <w:t>Depression in rates of primary production during high flows</w:t>
            </w:r>
          </w:p>
        </w:tc>
        <w:tc>
          <w:tcPr>
            <w:tcW w:w="1680" w:type="dxa"/>
            <w:vAlign w:val="center"/>
          </w:tcPr>
          <w:p w:rsidR="00033699" w:rsidRPr="00A04E00" w:rsidRDefault="00033699" w:rsidP="003F50DD">
            <w:pPr>
              <w:spacing w:after="0" w:line="240" w:lineRule="auto"/>
              <w:jc w:val="left"/>
              <w:rPr>
                <w:color w:val="000000" w:themeColor="text1"/>
                <w:sz w:val="20"/>
                <w:lang w:val="en-US"/>
              </w:rPr>
            </w:pPr>
            <w:r>
              <w:rPr>
                <w:color w:val="000000" w:themeColor="text1"/>
                <w:sz w:val="20"/>
                <w:lang w:val="en-US"/>
              </w:rPr>
              <w:t>No significant differences among rivers</w:t>
            </w:r>
          </w:p>
        </w:tc>
      </w:tr>
      <w:tr w:rsidR="00033699" w:rsidRPr="00BF49C9" w:rsidTr="003F50DD">
        <w:trPr>
          <w:cnfStyle w:val="000000010000"/>
        </w:trPr>
        <w:tc>
          <w:tcPr>
            <w:tcW w:w="1830" w:type="dxa"/>
            <w:vAlign w:val="center"/>
          </w:tcPr>
          <w:p w:rsidR="00033699" w:rsidRPr="00431746" w:rsidRDefault="00033699" w:rsidP="003F50DD">
            <w:pPr>
              <w:spacing w:after="0" w:line="240" w:lineRule="auto"/>
              <w:jc w:val="left"/>
              <w:rPr>
                <w:rFonts w:cs="Arial"/>
                <w:b/>
                <w:color w:val="000000"/>
                <w:sz w:val="20"/>
              </w:rPr>
            </w:pPr>
            <w:r w:rsidRPr="00431746">
              <w:rPr>
                <w:rFonts w:cs="Arial"/>
                <w:b/>
                <w:color w:val="000000"/>
                <w:sz w:val="20"/>
              </w:rPr>
              <w:t>Leaf-litter breakdown rates</w:t>
            </w:r>
          </w:p>
        </w:tc>
        <w:tc>
          <w:tcPr>
            <w:tcW w:w="1876" w:type="dxa"/>
            <w:vAlign w:val="center"/>
          </w:tcPr>
          <w:p w:rsidR="00033699" w:rsidRPr="00A625FE" w:rsidRDefault="00033699" w:rsidP="003F50DD">
            <w:pPr>
              <w:spacing w:after="0" w:line="240" w:lineRule="auto"/>
              <w:jc w:val="left"/>
              <w:rPr>
                <w:sz w:val="20"/>
              </w:rPr>
            </w:pPr>
            <w:r w:rsidRPr="00A625FE">
              <w:rPr>
                <w:sz w:val="20"/>
              </w:rPr>
              <w:t>N/A</w:t>
            </w:r>
          </w:p>
        </w:tc>
        <w:tc>
          <w:tcPr>
            <w:tcW w:w="1848" w:type="dxa"/>
            <w:vAlign w:val="center"/>
          </w:tcPr>
          <w:p w:rsidR="00033699" w:rsidRPr="006266E3" w:rsidRDefault="00033699" w:rsidP="003F50DD">
            <w:pPr>
              <w:spacing w:after="0" w:line="240" w:lineRule="auto"/>
              <w:jc w:val="left"/>
              <w:rPr>
                <w:sz w:val="20"/>
              </w:rPr>
            </w:pPr>
            <w:r>
              <w:rPr>
                <w:sz w:val="20"/>
              </w:rPr>
              <w:t>N/A</w:t>
            </w:r>
          </w:p>
        </w:tc>
        <w:tc>
          <w:tcPr>
            <w:tcW w:w="1833" w:type="dxa"/>
            <w:vAlign w:val="center"/>
          </w:tcPr>
          <w:p w:rsidR="00033699" w:rsidRPr="006266E3" w:rsidRDefault="00033699" w:rsidP="003F50DD">
            <w:pPr>
              <w:spacing w:after="0" w:line="240" w:lineRule="auto"/>
              <w:jc w:val="left"/>
              <w:rPr>
                <w:sz w:val="20"/>
              </w:rPr>
            </w:pPr>
            <w:r w:rsidRPr="006266E3">
              <w:rPr>
                <w:sz w:val="20"/>
              </w:rPr>
              <w:t>N/A</w:t>
            </w:r>
          </w:p>
        </w:tc>
        <w:tc>
          <w:tcPr>
            <w:tcW w:w="1680" w:type="dxa"/>
            <w:vAlign w:val="center"/>
          </w:tcPr>
          <w:p w:rsidR="00033699" w:rsidRPr="006266E3" w:rsidRDefault="00033699" w:rsidP="003F50DD">
            <w:pPr>
              <w:spacing w:after="0" w:line="240" w:lineRule="auto"/>
              <w:jc w:val="left"/>
              <w:rPr>
                <w:sz w:val="20"/>
              </w:rPr>
            </w:pPr>
            <w:r>
              <w:rPr>
                <w:color w:val="000000" w:themeColor="text1"/>
                <w:sz w:val="20"/>
                <w:lang w:val="en-US"/>
              </w:rPr>
              <w:t>No significant differences among rivers</w:t>
            </w:r>
          </w:p>
        </w:tc>
      </w:tr>
      <w:tr w:rsidR="00033699" w:rsidRPr="00BF49C9" w:rsidTr="003F50DD">
        <w:trPr>
          <w:cnfStyle w:val="000000100000"/>
        </w:trPr>
        <w:tc>
          <w:tcPr>
            <w:tcW w:w="1830" w:type="dxa"/>
            <w:vAlign w:val="center"/>
          </w:tcPr>
          <w:p w:rsidR="00033699" w:rsidRPr="00431746" w:rsidRDefault="00033699" w:rsidP="003F50DD">
            <w:pPr>
              <w:spacing w:after="0" w:line="240" w:lineRule="auto"/>
              <w:jc w:val="left"/>
              <w:rPr>
                <w:rFonts w:cs="Arial"/>
                <w:b/>
                <w:color w:val="000000"/>
                <w:sz w:val="20"/>
              </w:rPr>
            </w:pPr>
            <w:r w:rsidRPr="00431746">
              <w:rPr>
                <w:rFonts w:cs="Arial"/>
                <w:b/>
                <w:color w:val="000000"/>
                <w:sz w:val="20"/>
              </w:rPr>
              <w:t>Aquatic vegetation cover</w:t>
            </w:r>
          </w:p>
        </w:tc>
        <w:tc>
          <w:tcPr>
            <w:tcW w:w="1876" w:type="dxa"/>
            <w:vAlign w:val="center"/>
          </w:tcPr>
          <w:p w:rsidR="00033699" w:rsidRPr="00A625FE" w:rsidRDefault="00033699" w:rsidP="003F50DD">
            <w:pPr>
              <w:spacing w:after="0" w:line="240" w:lineRule="auto"/>
              <w:jc w:val="left"/>
              <w:rPr>
                <w:sz w:val="20"/>
              </w:rPr>
            </w:pPr>
            <w:r w:rsidRPr="00A625FE">
              <w:rPr>
                <w:sz w:val="20"/>
              </w:rPr>
              <w:t>N/A</w:t>
            </w:r>
          </w:p>
        </w:tc>
        <w:tc>
          <w:tcPr>
            <w:tcW w:w="1848" w:type="dxa"/>
            <w:vAlign w:val="center"/>
          </w:tcPr>
          <w:p w:rsidR="00033699" w:rsidRPr="00662C79" w:rsidRDefault="00033699" w:rsidP="003F50DD">
            <w:pPr>
              <w:spacing w:after="0" w:line="240" w:lineRule="auto"/>
              <w:jc w:val="left"/>
              <w:rPr>
                <w:sz w:val="20"/>
                <w:highlight w:val="yellow"/>
              </w:rPr>
            </w:pPr>
            <w:r>
              <w:rPr>
                <w:sz w:val="20"/>
              </w:rPr>
              <w:t>N/A</w:t>
            </w:r>
          </w:p>
        </w:tc>
        <w:tc>
          <w:tcPr>
            <w:tcW w:w="1833" w:type="dxa"/>
            <w:vAlign w:val="center"/>
          </w:tcPr>
          <w:p w:rsidR="00033699" w:rsidRPr="00662C79" w:rsidRDefault="00033699" w:rsidP="003F50DD">
            <w:pPr>
              <w:spacing w:after="0" w:line="240" w:lineRule="auto"/>
              <w:jc w:val="left"/>
              <w:rPr>
                <w:sz w:val="20"/>
                <w:highlight w:val="yellow"/>
              </w:rPr>
            </w:pPr>
            <w:r>
              <w:rPr>
                <w:sz w:val="20"/>
              </w:rPr>
              <w:t>N/A</w:t>
            </w:r>
          </w:p>
        </w:tc>
        <w:tc>
          <w:tcPr>
            <w:tcW w:w="1680" w:type="dxa"/>
            <w:vAlign w:val="center"/>
          </w:tcPr>
          <w:p w:rsidR="00033699" w:rsidRDefault="00033699" w:rsidP="003F50DD">
            <w:pPr>
              <w:spacing w:after="0" w:line="240" w:lineRule="auto"/>
              <w:jc w:val="left"/>
              <w:rPr>
                <w:color w:val="000000" w:themeColor="text1"/>
                <w:sz w:val="20"/>
                <w:lang w:val="en-US"/>
              </w:rPr>
            </w:pPr>
            <w:r>
              <w:rPr>
                <w:color w:val="000000" w:themeColor="text1"/>
                <w:sz w:val="20"/>
                <w:lang w:val="en-US"/>
              </w:rPr>
              <w:t xml:space="preserve">Little </w:t>
            </w:r>
            <w:proofErr w:type="spellStart"/>
            <w:r>
              <w:rPr>
                <w:color w:val="000000" w:themeColor="text1"/>
                <w:sz w:val="20"/>
                <w:lang w:val="en-US"/>
              </w:rPr>
              <w:t>Merran</w:t>
            </w:r>
            <w:proofErr w:type="spellEnd"/>
            <w:r>
              <w:rPr>
                <w:color w:val="000000" w:themeColor="text1"/>
                <w:sz w:val="20"/>
                <w:lang w:val="en-US"/>
              </w:rPr>
              <w:t xml:space="preserve"> C</w:t>
            </w:r>
            <w:r w:rsidRPr="00DD5788">
              <w:rPr>
                <w:color w:val="000000" w:themeColor="text1"/>
                <w:sz w:val="20"/>
                <w:lang w:val="en-US"/>
              </w:rPr>
              <w:t xml:space="preserve">k </w:t>
            </w:r>
            <w:r>
              <w:rPr>
                <w:color w:val="000000" w:themeColor="text1"/>
                <w:sz w:val="20"/>
                <w:lang w:val="en-US"/>
              </w:rPr>
              <w:t>had significantly lower %</w:t>
            </w:r>
            <w:r w:rsidRPr="00DD5788">
              <w:rPr>
                <w:color w:val="000000" w:themeColor="text1"/>
                <w:sz w:val="20"/>
                <w:lang w:val="en-US"/>
              </w:rPr>
              <w:t xml:space="preserve"> cover of aquatic vegetation </w:t>
            </w:r>
          </w:p>
          <w:p w:rsidR="00033699" w:rsidRPr="00662C79" w:rsidRDefault="00033699" w:rsidP="003F50DD">
            <w:pPr>
              <w:spacing w:after="0" w:line="240" w:lineRule="auto"/>
              <w:jc w:val="left"/>
              <w:rPr>
                <w:sz w:val="20"/>
                <w:highlight w:val="yellow"/>
              </w:rPr>
            </w:pPr>
          </w:p>
        </w:tc>
      </w:tr>
    </w:tbl>
    <w:p w:rsidR="005D2C39" w:rsidRDefault="005D2C39" w:rsidP="00033699">
      <w:pPr>
        <w:spacing w:after="120" w:line="240" w:lineRule="auto"/>
        <w:rPr>
          <w:b/>
          <w:sz w:val="20"/>
        </w:rPr>
      </w:pPr>
    </w:p>
    <w:p w:rsidR="005D2C39" w:rsidRDefault="005D2C39">
      <w:pPr>
        <w:spacing w:after="0" w:line="240" w:lineRule="auto"/>
        <w:jc w:val="left"/>
        <w:rPr>
          <w:b/>
          <w:sz w:val="20"/>
        </w:rPr>
      </w:pPr>
      <w:r>
        <w:rPr>
          <w:b/>
          <w:sz w:val="20"/>
        </w:rPr>
        <w:br w:type="page"/>
      </w:r>
    </w:p>
    <w:p w:rsidR="00033699" w:rsidRDefault="00033699" w:rsidP="008C3A35">
      <w:pPr>
        <w:spacing w:after="120" w:line="240" w:lineRule="auto"/>
        <w:ind w:left="1701" w:hanging="1701"/>
        <w:rPr>
          <w:rFonts w:eastAsia="Times New Roman"/>
          <w:b/>
          <w:szCs w:val="22"/>
        </w:rPr>
      </w:pPr>
      <w:r w:rsidRPr="00116BE4">
        <w:rPr>
          <w:b/>
          <w:sz w:val="20"/>
        </w:rPr>
        <w:lastRenderedPageBreak/>
        <w:t xml:space="preserve">Table </w:t>
      </w:r>
      <w:proofErr w:type="spellStart"/>
      <w:r w:rsidRPr="00116BE4">
        <w:rPr>
          <w:b/>
          <w:sz w:val="20"/>
        </w:rPr>
        <w:t>i</w:t>
      </w:r>
      <w:proofErr w:type="spellEnd"/>
      <w:r>
        <w:rPr>
          <w:b/>
          <w:sz w:val="20"/>
        </w:rPr>
        <w:t xml:space="preserve"> (continued)</w:t>
      </w:r>
      <w:r w:rsidRPr="00116BE4">
        <w:rPr>
          <w:b/>
          <w:sz w:val="20"/>
        </w:rPr>
        <w:t>.</w:t>
      </w:r>
      <w:r>
        <w:rPr>
          <w:sz w:val="20"/>
        </w:rPr>
        <w:t xml:space="preserve"> </w:t>
      </w:r>
      <w:r w:rsidR="008C3A35">
        <w:rPr>
          <w:sz w:val="20"/>
        </w:rPr>
        <w:tab/>
      </w:r>
      <w:proofErr w:type="gramStart"/>
      <w:r w:rsidRPr="00D43376">
        <w:rPr>
          <w:sz w:val="20"/>
        </w:rPr>
        <w:t xml:space="preserve">Summary of </w:t>
      </w:r>
      <w:r>
        <w:rPr>
          <w:sz w:val="20"/>
        </w:rPr>
        <w:t xml:space="preserve">ecosystem responses </w:t>
      </w:r>
      <w:r w:rsidRPr="00D43376">
        <w:rPr>
          <w:sz w:val="20"/>
        </w:rPr>
        <w:t>to environmental watering</w:t>
      </w:r>
      <w:r>
        <w:rPr>
          <w:sz w:val="20"/>
        </w:rPr>
        <w:t xml:space="preserve"> in the Edward-Wakool system in 2011/12.</w:t>
      </w:r>
      <w:proofErr w:type="gramEnd"/>
      <w:r>
        <w:rPr>
          <w:sz w:val="20"/>
        </w:rPr>
        <w:t xml:space="preserve"> </w:t>
      </w:r>
    </w:p>
    <w:tbl>
      <w:tblPr>
        <w:tblStyle w:val="TableGrid"/>
        <w:tblW w:w="9067" w:type="dxa"/>
        <w:tblLayout w:type="fixed"/>
        <w:tblLook w:val="04A0"/>
      </w:tblPr>
      <w:tblGrid>
        <w:gridCol w:w="1830"/>
        <w:gridCol w:w="1876"/>
        <w:gridCol w:w="1848"/>
        <w:gridCol w:w="1833"/>
        <w:gridCol w:w="1680"/>
      </w:tblGrid>
      <w:tr w:rsidR="00033699" w:rsidRPr="00BF49C9" w:rsidTr="003F50DD">
        <w:trPr>
          <w:cnfStyle w:val="100000000000"/>
        </w:trPr>
        <w:tc>
          <w:tcPr>
            <w:tcW w:w="1830" w:type="dxa"/>
            <w:vAlign w:val="center"/>
          </w:tcPr>
          <w:p w:rsidR="00033699" w:rsidRPr="008B16CC" w:rsidRDefault="00033699" w:rsidP="003F50DD">
            <w:pPr>
              <w:spacing w:after="0" w:line="240" w:lineRule="auto"/>
              <w:jc w:val="left"/>
              <w:rPr>
                <w:b/>
                <w:szCs w:val="22"/>
              </w:rPr>
            </w:pPr>
            <w:r w:rsidRPr="008B16CC">
              <w:rPr>
                <w:b/>
                <w:szCs w:val="22"/>
              </w:rPr>
              <w:t>Indicators</w:t>
            </w:r>
          </w:p>
        </w:tc>
        <w:tc>
          <w:tcPr>
            <w:tcW w:w="1876" w:type="dxa"/>
            <w:vAlign w:val="center"/>
          </w:tcPr>
          <w:p w:rsidR="00033699" w:rsidRPr="008B16CC" w:rsidRDefault="00033699" w:rsidP="003F50DD">
            <w:pPr>
              <w:spacing w:after="0" w:line="240" w:lineRule="auto"/>
              <w:jc w:val="left"/>
              <w:rPr>
                <w:b/>
              </w:rPr>
            </w:pPr>
            <w:r w:rsidRPr="008B16CC">
              <w:rPr>
                <w:b/>
              </w:rPr>
              <w:t xml:space="preserve">November 2011 environmental watering in </w:t>
            </w:r>
            <w:proofErr w:type="spellStart"/>
            <w:r w:rsidRPr="008B16CC">
              <w:rPr>
                <w:b/>
              </w:rPr>
              <w:t>Colligen</w:t>
            </w:r>
            <w:proofErr w:type="spellEnd"/>
            <w:r w:rsidRPr="008B16CC">
              <w:rPr>
                <w:b/>
              </w:rPr>
              <w:t xml:space="preserve"> Ck</w:t>
            </w:r>
          </w:p>
        </w:tc>
        <w:tc>
          <w:tcPr>
            <w:tcW w:w="1848" w:type="dxa"/>
            <w:vAlign w:val="center"/>
          </w:tcPr>
          <w:p w:rsidR="00033699" w:rsidRPr="008B16CC" w:rsidRDefault="00033699" w:rsidP="003F50DD">
            <w:pPr>
              <w:spacing w:after="0" w:line="240" w:lineRule="auto"/>
              <w:jc w:val="left"/>
              <w:rPr>
                <w:b/>
              </w:rPr>
            </w:pPr>
            <w:r w:rsidRPr="008B16CC">
              <w:rPr>
                <w:b/>
              </w:rPr>
              <w:t xml:space="preserve">February 2012 environmental watering in </w:t>
            </w:r>
            <w:proofErr w:type="spellStart"/>
            <w:r w:rsidRPr="008B16CC">
              <w:rPr>
                <w:b/>
              </w:rPr>
              <w:t>Colligen</w:t>
            </w:r>
            <w:proofErr w:type="spellEnd"/>
            <w:r w:rsidRPr="008B16CC">
              <w:rPr>
                <w:b/>
              </w:rPr>
              <w:t xml:space="preserve"> Ck and Wakool River</w:t>
            </w:r>
          </w:p>
        </w:tc>
        <w:tc>
          <w:tcPr>
            <w:tcW w:w="1833" w:type="dxa"/>
            <w:vAlign w:val="center"/>
          </w:tcPr>
          <w:p w:rsidR="00033699" w:rsidRPr="008B16CC" w:rsidRDefault="00033699" w:rsidP="003F50DD">
            <w:pPr>
              <w:spacing w:after="0" w:line="240" w:lineRule="auto"/>
              <w:jc w:val="left"/>
              <w:rPr>
                <w:b/>
              </w:rPr>
            </w:pPr>
            <w:r>
              <w:rPr>
                <w:b/>
              </w:rPr>
              <w:t>April to May</w:t>
            </w:r>
            <w:r w:rsidRPr="008B16CC">
              <w:rPr>
                <w:b/>
              </w:rPr>
              <w:t xml:space="preserve"> 2012 environmental watering from irrigation escapes</w:t>
            </w:r>
          </w:p>
        </w:tc>
        <w:tc>
          <w:tcPr>
            <w:tcW w:w="1680" w:type="dxa"/>
            <w:vAlign w:val="center"/>
          </w:tcPr>
          <w:p w:rsidR="00033699" w:rsidRDefault="00033699" w:rsidP="003F50DD">
            <w:pPr>
              <w:spacing w:after="0" w:line="240" w:lineRule="auto"/>
              <w:jc w:val="left"/>
              <w:rPr>
                <w:b/>
              </w:rPr>
            </w:pPr>
            <w:r>
              <w:rPr>
                <w:b/>
              </w:rPr>
              <w:t>Comparison among rivers</w:t>
            </w:r>
          </w:p>
          <w:p w:rsidR="00033699" w:rsidRPr="008B16CC" w:rsidRDefault="00033699" w:rsidP="003F50DD">
            <w:pPr>
              <w:spacing w:after="0" w:line="240" w:lineRule="auto"/>
              <w:jc w:val="left"/>
              <w:rPr>
                <w:b/>
              </w:rPr>
            </w:pPr>
            <w:r>
              <w:rPr>
                <w:b/>
              </w:rPr>
              <w:t>over the whole study period (assessment of flow regime)</w:t>
            </w:r>
          </w:p>
        </w:tc>
      </w:tr>
      <w:tr w:rsidR="00033699" w:rsidRPr="00BF49C9" w:rsidTr="003F50DD">
        <w:trPr>
          <w:cnfStyle w:val="000000100000"/>
        </w:trPr>
        <w:tc>
          <w:tcPr>
            <w:tcW w:w="1830" w:type="dxa"/>
            <w:vAlign w:val="center"/>
          </w:tcPr>
          <w:p w:rsidR="00033699" w:rsidRPr="00431746" w:rsidRDefault="00033699" w:rsidP="003F50DD">
            <w:pPr>
              <w:spacing w:after="0" w:line="240" w:lineRule="auto"/>
              <w:jc w:val="left"/>
              <w:rPr>
                <w:rFonts w:cs="Arial"/>
                <w:b/>
                <w:color w:val="000000"/>
                <w:sz w:val="20"/>
              </w:rPr>
            </w:pPr>
            <w:r w:rsidRPr="00431746">
              <w:rPr>
                <w:rFonts w:cs="Arial"/>
                <w:b/>
                <w:color w:val="000000"/>
                <w:sz w:val="20"/>
              </w:rPr>
              <w:t xml:space="preserve">Zooplankton abundance and </w:t>
            </w:r>
            <w:proofErr w:type="spellStart"/>
            <w:r w:rsidRPr="00431746">
              <w:rPr>
                <w:rFonts w:cs="Arial"/>
                <w:b/>
                <w:color w:val="000000"/>
                <w:sz w:val="20"/>
              </w:rPr>
              <w:t>taxa</w:t>
            </w:r>
            <w:proofErr w:type="spellEnd"/>
            <w:r w:rsidRPr="00431746">
              <w:rPr>
                <w:rFonts w:cs="Arial"/>
                <w:b/>
                <w:color w:val="000000"/>
                <w:sz w:val="20"/>
              </w:rPr>
              <w:t xml:space="preserve"> richness</w:t>
            </w:r>
          </w:p>
        </w:tc>
        <w:tc>
          <w:tcPr>
            <w:tcW w:w="1876" w:type="dxa"/>
            <w:vAlign w:val="center"/>
          </w:tcPr>
          <w:p w:rsidR="00033699" w:rsidRPr="00A625FE" w:rsidRDefault="00033699" w:rsidP="003F50DD">
            <w:pPr>
              <w:spacing w:after="0" w:line="240" w:lineRule="auto"/>
              <w:jc w:val="left"/>
              <w:rPr>
                <w:sz w:val="20"/>
              </w:rPr>
            </w:pPr>
            <w:r w:rsidRPr="006266E3">
              <w:rPr>
                <w:sz w:val="20"/>
              </w:rPr>
              <w:t>No response</w:t>
            </w:r>
            <w:r>
              <w:rPr>
                <w:sz w:val="20"/>
              </w:rPr>
              <w:t xml:space="preserve"> detected</w:t>
            </w:r>
          </w:p>
        </w:tc>
        <w:tc>
          <w:tcPr>
            <w:tcW w:w="1848" w:type="dxa"/>
            <w:vAlign w:val="center"/>
          </w:tcPr>
          <w:p w:rsidR="00033699" w:rsidRPr="006266E3" w:rsidRDefault="00033699" w:rsidP="003F50DD">
            <w:pPr>
              <w:spacing w:after="0" w:line="240" w:lineRule="auto"/>
              <w:jc w:val="left"/>
              <w:rPr>
                <w:sz w:val="20"/>
              </w:rPr>
            </w:pPr>
            <w:r w:rsidRPr="006266E3">
              <w:rPr>
                <w:sz w:val="20"/>
              </w:rPr>
              <w:t>No response</w:t>
            </w:r>
            <w:r>
              <w:rPr>
                <w:sz w:val="20"/>
              </w:rPr>
              <w:t xml:space="preserve"> detected</w:t>
            </w:r>
          </w:p>
        </w:tc>
        <w:tc>
          <w:tcPr>
            <w:tcW w:w="1833" w:type="dxa"/>
            <w:vAlign w:val="center"/>
          </w:tcPr>
          <w:p w:rsidR="00033699" w:rsidRPr="006266E3" w:rsidRDefault="00033699" w:rsidP="003F50DD">
            <w:pPr>
              <w:spacing w:after="0" w:line="240" w:lineRule="auto"/>
              <w:jc w:val="left"/>
              <w:rPr>
                <w:sz w:val="20"/>
              </w:rPr>
            </w:pPr>
            <w:r w:rsidRPr="006266E3">
              <w:rPr>
                <w:sz w:val="20"/>
              </w:rPr>
              <w:t>No response</w:t>
            </w:r>
            <w:r>
              <w:rPr>
                <w:sz w:val="20"/>
              </w:rPr>
              <w:t xml:space="preserve"> detected</w:t>
            </w:r>
          </w:p>
        </w:tc>
        <w:tc>
          <w:tcPr>
            <w:tcW w:w="1680" w:type="dxa"/>
            <w:vAlign w:val="center"/>
          </w:tcPr>
          <w:p w:rsidR="00033699" w:rsidRPr="006266E3" w:rsidRDefault="00033699" w:rsidP="003F50DD">
            <w:pPr>
              <w:spacing w:after="0" w:line="240" w:lineRule="auto"/>
              <w:jc w:val="left"/>
              <w:rPr>
                <w:sz w:val="20"/>
              </w:rPr>
            </w:pPr>
            <w:r>
              <w:rPr>
                <w:sz w:val="20"/>
              </w:rPr>
              <w:t xml:space="preserve">Little </w:t>
            </w:r>
            <w:proofErr w:type="spellStart"/>
            <w:r>
              <w:rPr>
                <w:sz w:val="20"/>
              </w:rPr>
              <w:t>Merran</w:t>
            </w:r>
            <w:proofErr w:type="spellEnd"/>
            <w:r>
              <w:rPr>
                <w:sz w:val="20"/>
              </w:rPr>
              <w:t xml:space="preserve"> Ck had different community composition to other reaches</w:t>
            </w:r>
          </w:p>
        </w:tc>
      </w:tr>
      <w:tr w:rsidR="00033699" w:rsidRPr="00BF49C9" w:rsidTr="003F50DD">
        <w:trPr>
          <w:cnfStyle w:val="000000010000"/>
        </w:trPr>
        <w:tc>
          <w:tcPr>
            <w:tcW w:w="1830" w:type="dxa"/>
            <w:vAlign w:val="center"/>
          </w:tcPr>
          <w:p w:rsidR="00033699" w:rsidRPr="00431746" w:rsidRDefault="00033699" w:rsidP="003F50DD">
            <w:pPr>
              <w:spacing w:after="0" w:line="240" w:lineRule="auto"/>
              <w:jc w:val="left"/>
              <w:rPr>
                <w:rFonts w:cs="Arial"/>
                <w:b/>
                <w:color w:val="000000"/>
                <w:sz w:val="20"/>
              </w:rPr>
            </w:pPr>
            <w:proofErr w:type="spellStart"/>
            <w:r w:rsidRPr="00431746">
              <w:rPr>
                <w:rFonts w:cs="Arial"/>
                <w:b/>
                <w:color w:val="000000"/>
                <w:sz w:val="20"/>
              </w:rPr>
              <w:t>Macroinvertebrate</w:t>
            </w:r>
            <w:proofErr w:type="spellEnd"/>
            <w:r w:rsidRPr="00431746">
              <w:rPr>
                <w:rFonts w:cs="Arial"/>
                <w:b/>
                <w:color w:val="000000"/>
                <w:sz w:val="20"/>
              </w:rPr>
              <w:t xml:space="preserve"> biodiversity</w:t>
            </w:r>
          </w:p>
        </w:tc>
        <w:tc>
          <w:tcPr>
            <w:tcW w:w="1876" w:type="dxa"/>
            <w:vAlign w:val="center"/>
          </w:tcPr>
          <w:p w:rsidR="00033699" w:rsidRPr="0020146E" w:rsidRDefault="00033699" w:rsidP="003F50DD">
            <w:pPr>
              <w:spacing w:after="0" w:line="240" w:lineRule="auto"/>
              <w:jc w:val="left"/>
              <w:rPr>
                <w:sz w:val="20"/>
              </w:rPr>
            </w:pPr>
            <w:r>
              <w:rPr>
                <w:sz w:val="20"/>
              </w:rPr>
              <w:t>N/A</w:t>
            </w:r>
          </w:p>
        </w:tc>
        <w:tc>
          <w:tcPr>
            <w:tcW w:w="1848" w:type="dxa"/>
            <w:vAlign w:val="center"/>
          </w:tcPr>
          <w:p w:rsidR="00033699" w:rsidRPr="0020146E" w:rsidRDefault="00033699" w:rsidP="003F50DD">
            <w:pPr>
              <w:spacing w:after="0" w:line="240" w:lineRule="auto"/>
              <w:jc w:val="left"/>
              <w:rPr>
                <w:sz w:val="20"/>
              </w:rPr>
            </w:pPr>
            <w:r>
              <w:rPr>
                <w:sz w:val="20"/>
              </w:rPr>
              <w:t>N/A</w:t>
            </w:r>
          </w:p>
        </w:tc>
        <w:tc>
          <w:tcPr>
            <w:tcW w:w="1833" w:type="dxa"/>
            <w:vAlign w:val="center"/>
          </w:tcPr>
          <w:p w:rsidR="00033699" w:rsidRPr="006266E3" w:rsidRDefault="00033699" w:rsidP="003F50DD">
            <w:pPr>
              <w:spacing w:after="0" w:line="240" w:lineRule="auto"/>
              <w:jc w:val="left"/>
              <w:rPr>
                <w:sz w:val="20"/>
              </w:rPr>
            </w:pPr>
            <w:r w:rsidRPr="006266E3">
              <w:rPr>
                <w:sz w:val="20"/>
              </w:rPr>
              <w:t>N/A</w:t>
            </w:r>
          </w:p>
        </w:tc>
        <w:tc>
          <w:tcPr>
            <w:tcW w:w="1680" w:type="dxa"/>
            <w:vAlign w:val="center"/>
          </w:tcPr>
          <w:p w:rsidR="00033699" w:rsidRPr="006266E3" w:rsidRDefault="00033699" w:rsidP="003F50DD">
            <w:pPr>
              <w:spacing w:after="0" w:line="240" w:lineRule="auto"/>
              <w:jc w:val="left"/>
              <w:rPr>
                <w:sz w:val="20"/>
              </w:rPr>
            </w:pPr>
            <w:r w:rsidRPr="0020146E">
              <w:rPr>
                <w:sz w:val="20"/>
              </w:rPr>
              <w:t xml:space="preserve">Higher richness in </w:t>
            </w:r>
            <w:proofErr w:type="spellStart"/>
            <w:r w:rsidRPr="0020146E">
              <w:rPr>
                <w:sz w:val="20"/>
              </w:rPr>
              <w:t>Colligen</w:t>
            </w:r>
            <w:proofErr w:type="spellEnd"/>
            <w:r w:rsidRPr="0020146E">
              <w:rPr>
                <w:sz w:val="20"/>
              </w:rPr>
              <w:t xml:space="preserve"> Ck compared to </w:t>
            </w:r>
            <w:proofErr w:type="spellStart"/>
            <w:r w:rsidRPr="0020146E">
              <w:rPr>
                <w:sz w:val="20"/>
              </w:rPr>
              <w:t>Yallakool</w:t>
            </w:r>
            <w:proofErr w:type="spellEnd"/>
            <w:r w:rsidRPr="0020146E">
              <w:rPr>
                <w:sz w:val="20"/>
              </w:rPr>
              <w:t xml:space="preserve"> Ck but similar to Wakool R and Little </w:t>
            </w:r>
            <w:proofErr w:type="spellStart"/>
            <w:r w:rsidRPr="0020146E">
              <w:rPr>
                <w:sz w:val="20"/>
              </w:rPr>
              <w:t>Merran</w:t>
            </w:r>
            <w:proofErr w:type="spellEnd"/>
            <w:r w:rsidRPr="0020146E">
              <w:rPr>
                <w:sz w:val="20"/>
              </w:rPr>
              <w:t xml:space="preserve"> Ck</w:t>
            </w:r>
          </w:p>
        </w:tc>
      </w:tr>
      <w:tr w:rsidR="00033699" w:rsidRPr="00BF49C9" w:rsidTr="003F50DD">
        <w:trPr>
          <w:cnfStyle w:val="000000100000"/>
        </w:trPr>
        <w:tc>
          <w:tcPr>
            <w:tcW w:w="1830" w:type="dxa"/>
            <w:vAlign w:val="center"/>
          </w:tcPr>
          <w:p w:rsidR="00033699" w:rsidRPr="00431746" w:rsidRDefault="00033699" w:rsidP="003F50DD">
            <w:pPr>
              <w:spacing w:after="0" w:line="240" w:lineRule="auto"/>
              <w:jc w:val="left"/>
              <w:rPr>
                <w:rFonts w:cs="Arial"/>
                <w:b/>
                <w:color w:val="000000"/>
                <w:sz w:val="20"/>
              </w:rPr>
            </w:pPr>
            <w:proofErr w:type="spellStart"/>
            <w:r w:rsidRPr="00431746">
              <w:rPr>
                <w:rFonts w:cs="Arial"/>
                <w:b/>
                <w:color w:val="000000"/>
                <w:sz w:val="20"/>
              </w:rPr>
              <w:t>Macroinvertebrate</w:t>
            </w:r>
            <w:proofErr w:type="spellEnd"/>
            <w:r w:rsidRPr="00431746">
              <w:rPr>
                <w:rFonts w:cs="Arial"/>
                <w:b/>
                <w:color w:val="000000"/>
                <w:sz w:val="20"/>
              </w:rPr>
              <w:t xml:space="preserve"> </w:t>
            </w:r>
            <w:proofErr w:type="spellStart"/>
            <w:r w:rsidRPr="00431746">
              <w:rPr>
                <w:rFonts w:cs="Arial"/>
                <w:b/>
                <w:color w:val="000000"/>
                <w:sz w:val="20"/>
              </w:rPr>
              <w:t>Rheophily</w:t>
            </w:r>
            <w:proofErr w:type="spellEnd"/>
            <w:r w:rsidRPr="00431746">
              <w:rPr>
                <w:rFonts w:cs="Arial"/>
                <w:b/>
                <w:color w:val="000000"/>
                <w:sz w:val="20"/>
              </w:rPr>
              <w:t xml:space="preserve"> score</w:t>
            </w:r>
          </w:p>
        </w:tc>
        <w:tc>
          <w:tcPr>
            <w:tcW w:w="1876" w:type="dxa"/>
            <w:vAlign w:val="center"/>
          </w:tcPr>
          <w:p w:rsidR="00033699" w:rsidRPr="00A04E00" w:rsidRDefault="00033699" w:rsidP="003F50DD">
            <w:pPr>
              <w:spacing w:after="0" w:line="240" w:lineRule="auto"/>
              <w:jc w:val="left"/>
              <w:rPr>
                <w:sz w:val="20"/>
              </w:rPr>
            </w:pPr>
            <w:r w:rsidRPr="006266E3">
              <w:rPr>
                <w:sz w:val="20"/>
              </w:rPr>
              <w:t>No response</w:t>
            </w:r>
            <w:r>
              <w:rPr>
                <w:sz w:val="20"/>
              </w:rPr>
              <w:t xml:space="preserve"> detected</w:t>
            </w:r>
          </w:p>
        </w:tc>
        <w:tc>
          <w:tcPr>
            <w:tcW w:w="1848" w:type="dxa"/>
            <w:vAlign w:val="center"/>
          </w:tcPr>
          <w:p w:rsidR="00033699" w:rsidRPr="0020146E" w:rsidRDefault="00033699" w:rsidP="003F50DD">
            <w:pPr>
              <w:spacing w:after="0" w:line="240" w:lineRule="auto"/>
              <w:jc w:val="left"/>
              <w:rPr>
                <w:sz w:val="20"/>
              </w:rPr>
            </w:pPr>
            <w:r>
              <w:rPr>
                <w:sz w:val="20"/>
              </w:rPr>
              <w:t>D</w:t>
            </w:r>
            <w:r w:rsidRPr="0020146E">
              <w:rPr>
                <w:sz w:val="20"/>
              </w:rPr>
              <w:t xml:space="preserve">ecrease in </w:t>
            </w:r>
            <w:proofErr w:type="spellStart"/>
            <w:r w:rsidRPr="0020146E">
              <w:rPr>
                <w:sz w:val="20"/>
              </w:rPr>
              <w:t>Rheophily</w:t>
            </w:r>
            <w:proofErr w:type="spellEnd"/>
            <w:r w:rsidRPr="0020146E">
              <w:rPr>
                <w:sz w:val="20"/>
              </w:rPr>
              <w:t xml:space="preserve"> score in </w:t>
            </w:r>
            <w:proofErr w:type="spellStart"/>
            <w:r w:rsidRPr="0020146E">
              <w:rPr>
                <w:sz w:val="20"/>
              </w:rPr>
              <w:t>Colligen</w:t>
            </w:r>
            <w:proofErr w:type="spellEnd"/>
            <w:r w:rsidRPr="0020146E">
              <w:rPr>
                <w:sz w:val="20"/>
              </w:rPr>
              <w:t xml:space="preserve"> Ck</w:t>
            </w:r>
          </w:p>
        </w:tc>
        <w:tc>
          <w:tcPr>
            <w:tcW w:w="1833" w:type="dxa"/>
            <w:vAlign w:val="center"/>
          </w:tcPr>
          <w:p w:rsidR="00033699" w:rsidRPr="006266E3" w:rsidRDefault="00033699" w:rsidP="003F50DD">
            <w:pPr>
              <w:spacing w:after="0" w:line="240" w:lineRule="auto"/>
              <w:jc w:val="left"/>
              <w:rPr>
                <w:sz w:val="20"/>
              </w:rPr>
            </w:pPr>
            <w:r w:rsidRPr="006266E3">
              <w:rPr>
                <w:sz w:val="20"/>
              </w:rPr>
              <w:t>N/A</w:t>
            </w:r>
          </w:p>
        </w:tc>
        <w:tc>
          <w:tcPr>
            <w:tcW w:w="1680" w:type="dxa"/>
            <w:vAlign w:val="center"/>
          </w:tcPr>
          <w:p w:rsidR="00033699" w:rsidRPr="006266E3" w:rsidRDefault="00033699" w:rsidP="003F50DD">
            <w:pPr>
              <w:spacing w:after="0" w:line="240" w:lineRule="auto"/>
              <w:jc w:val="left"/>
              <w:rPr>
                <w:sz w:val="20"/>
              </w:rPr>
            </w:pPr>
            <w:r>
              <w:rPr>
                <w:color w:val="000000" w:themeColor="text1"/>
                <w:sz w:val="20"/>
                <w:lang w:val="en-US"/>
              </w:rPr>
              <w:t>No significant differences among rivers</w:t>
            </w:r>
          </w:p>
        </w:tc>
      </w:tr>
      <w:tr w:rsidR="00033699" w:rsidRPr="00BF49C9" w:rsidTr="003F50DD">
        <w:trPr>
          <w:cnfStyle w:val="000000010000"/>
          <w:trHeight w:val="2205"/>
        </w:trPr>
        <w:tc>
          <w:tcPr>
            <w:tcW w:w="1830" w:type="dxa"/>
            <w:vAlign w:val="center"/>
          </w:tcPr>
          <w:p w:rsidR="00033699" w:rsidRPr="00431746" w:rsidRDefault="00033699" w:rsidP="003F50DD">
            <w:pPr>
              <w:spacing w:after="0" w:line="240" w:lineRule="auto"/>
              <w:jc w:val="left"/>
              <w:rPr>
                <w:rFonts w:cs="Arial"/>
                <w:b/>
                <w:color w:val="000000"/>
                <w:sz w:val="20"/>
              </w:rPr>
            </w:pPr>
            <w:proofErr w:type="spellStart"/>
            <w:r w:rsidRPr="00431746">
              <w:rPr>
                <w:rFonts w:cs="Arial"/>
                <w:b/>
                <w:color w:val="000000"/>
                <w:sz w:val="20"/>
              </w:rPr>
              <w:t>Macroinvertebrate</w:t>
            </w:r>
            <w:proofErr w:type="spellEnd"/>
            <w:r w:rsidRPr="00431746">
              <w:rPr>
                <w:rFonts w:cs="Arial"/>
                <w:b/>
                <w:color w:val="000000"/>
                <w:sz w:val="20"/>
              </w:rPr>
              <w:t xml:space="preserve"> composition (FFG)</w:t>
            </w:r>
          </w:p>
        </w:tc>
        <w:tc>
          <w:tcPr>
            <w:tcW w:w="1876" w:type="dxa"/>
            <w:vAlign w:val="center"/>
          </w:tcPr>
          <w:p w:rsidR="00033699" w:rsidRPr="00A04E00" w:rsidRDefault="00033699" w:rsidP="003F50DD">
            <w:pPr>
              <w:spacing w:after="0" w:line="240" w:lineRule="auto"/>
              <w:jc w:val="left"/>
              <w:rPr>
                <w:sz w:val="20"/>
              </w:rPr>
            </w:pPr>
            <w:r w:rsidRPr="00A04E00">
              <w:rPr>
                <w:sz w:val="20"/>
              </w:rPr>
              <w:t>N/A‡</w:t>
            </w:r>
          </w:p>
        </w:tc>
        <w:tc>
          <w:tcPr>
            <w:tcW w:w="1848" w:type="dxa"/>
            <w:vAlign w:val="center"/>
          </w:tcPr>
          <w:p w:rsidR="00033699" w:rsidRPr="006266E3" w:rsidRDefault="00033699" w:rsidP="003F50DD">
            <w:pPr>
              <w:spacing w:after="0" w:line="240" w:lineRule="auto"/>
              <w:jc w:val="left"/>
              <w:rPr>
                <w:sz w:val="20"/>
              </w:rPr>
            </w:pPr>
            <w:r w:rsidRPr="006266E3">
              <w:rPr>
                <w:sz w:val="20"/>
              </w:rPr>
              <w:t>No response</w:t>
            </w:r>
          </w:p>
        </w:tc>
        <w:tc>
          <w:tcPr>
            <w:tcW w:w="1833" w:type="dxa"/>
            <w:vAlign w:val="center"/>
          </w:tcPr>
          <w:p w:rsidR="00033699" w:rsidRPr="006266E3" w:rsidRDefault="00033699" w:rsidP="003F50DD">
            <w:pPr>
              <w:spacing w:after="0" w:line="240" w:lineRule="auto"/>
              <w:jc w:val="left"/>
              <w:rPr>
                <w:sz w:val="20"/>
              </w:rPr>
            </w:pPr>
            <w:r w:rsidRPr="006266E3">
              <w:rPr>
                <w:sz w:val="20"/>
              </w:rPr>
              <w:t>N/A</w:t>
            </w:r>
          </w:p>
        </w:tc>
        <w:tc>
          <w:tcPr>
            <w:tcW w:w="1680" w:type="dxa"/>
            <w:vAlign w:val="center"/>
          </w:tcPr>
          <w:p w:rsidR="00033699" w:rsidRPr="006266E3" w:rsidRDefault="00033699" w:rsidP="003F50DD">
            <w:pPr>
              <w:spacing w:after="0" w:line="240" w:lineRule="auto"/>
              <w:jc w:val="left"/>
              <w:rPr>
                <w:sz w:val="20"/>
              </w:rPr>
            </w:pPr>
            <w:proofErr w:type="spellStart"/>
            <w:r>
              <w:rPr>
                <w:sz w:val="20"/>
              </w:rPr>
              <w:t>Colligen</w:t>
            </w:r>
            <w:proofErr w:type="spellEnd"/>
            <w:r>
              <w:rPr>
                <w:sz w:val="20"/>
              </w:rPr>
              <w:t xml:space="preserve"> Ck had higher abundance of filterers, predators &amp; lower abundance of collector-gathers than the other three rivers</w:t>
            </w:r>
          </w:p>
        </w:tc>
      </w:tr>
      <w:tr w:rsidR="00033699" w:rsidRPr="00BF49C9" w:rsidTr="003F50DD">
        <w:trPr>
          <w:cnfStyle w:val="000000100000"/>
        </w:trPr>
        <w:tc>
          <w:tcPr>
            <w:tcW w:w="1830" w:type="dxa"/>
            <w:vAlign w:val="center"/>
          </w:tcPr>
          <w:p w:rsidR="00033699" w:rsidRPr="00431746" w:rsidRDefault="00033699" w:rsidP="003F50DD">
            <w:pPr>
              <w:spacing w:after="0" w:line="240" w:lineRule="auto"/>
              <w:jc w:val="left"/>
              <w:rPr>
                <w:rFonts w:cs="Arial"/>
                <w:b/>
                <w:color w:val="000000"/>
                <w:sz w:val="20"/>
              </w:rPr>
            </w:pPr>
            <w:proofErr w:type="spellStart"/>
            <w:r w:rsidRPr="00431746">
              <w:rPr>
                <w:rFonts w:cs="Arial"/>
                <w:b/>
                <w:color w:val="000000"/>
                <w:sz w:val="20"/>
              </w:rPr>
              <w:t>Macroinvertebrate</w:t>
            </w:r>
            <w:proofErr w:type="spellEnd"/>
            <w:r w:rsidRPr="00431746">
              <w:rPr>
                <w:rFonts w:cs="Arial"/>
                <w:b/>
                <w:color w:val="000000"/>
                <w:sz w:val="20"/>
              </w:rPr>
              <w:t xml:space="preserve"> abundance</w:t>
            </w:r>
          </w:p>
        </w:tc>
        <w:tc>
          <w:tcPr>
            <w:tcW w:w="1876" w:type="dxa"/>
            <w:vAlign w:val="center"/>
          </w:tcPr>
          <w:p w:rsidR="00033699" w:rsidRPr="00A04E00" w:rsidRDefault="00033699" w:rsidP="003F50DD">
            <w:pPr>
              <w:spacing w:after="0" w:line="240" w:lineRule="auto"/>
              <w:jc w:val="left"/>
              <w:rPr>
                <w:sz w:val="20"/>
              </w:rPr>
            </w:pPr>
            <w:r w:rsidRPr="006266E3">
              <w:rPr>
                <w:sz w:val="20"/>
              </w:rPr>
              <w:t>No response</w:t>
            </w:r>
            <w:r>
              <w:rPr>
                <w:sz w:val="20"/>
              </w:rPr>
              <w:t xml:space="preserve"> detected</w:t>
            </w:r>
          </w:p>
        </w:tc>
        <w:tc>
          <w:tcPr>
            <w:tcW w:w="1848" w:type="dxa"/>
            <w:vAlign w:val="center"/>
          </w:tcPr>
          <w:p w:rsidR="00033699" w:rsidRPr="006266E3" w:rsidRDefault="00033699" w:rsidP="003F50DD">
            <w:pPr>
              <w:spacing w:after="0" w:line="240" w:lineRule="auto"/>
              <w:jc w:val="left"/>
              <w:rPr>
                <w:sz w:val="20"/>
              </w:rPr>
            </w:pPr>
            <w:r w:rsidRPr="006266E3">
              <w:rPr>
                <w:sz w:val="20"/>
              </w:rPr>
              <w:t>No response</w:t>
            </w:r>
            <w:r>
              <w:rPr>
                <w:sz w:val="20"/>
              </w:rPr>
              <w:t xml:space="preserve"> detected</w:t>
            </w:r>
          </w:p>
        </w:tc>
        <w:tc>
          <w:tcPr>
            <w:tcW w:w="1833" w:type="dxa"/>
            <w:vAlign w:val="center"/>
          </w:tcPr>
          <w:p w:rsidR="00033699" w:rsidRPr="006266E3" w:rsidRDefault="00033699" w:rsidP="003F50DD">
            <w:pPr>
              <w:spacing w:after="0" w:line="240" w:lineRule="auto"/>
              <w:jc w:val="left"/>
              <w:rPr>
                <w:sz w:val="20"/>
              </w:rPr>
            </w:pPr>
            <w:r w:rsidRPr="006266E3">
              <w:rPr>
                <w:sz w:val="20"/>
              </w:rPr>
              <w:t>N/A</w:t>
            </w:r>
          </w:p>
        </w:tc>
        <w:tc>
          <w:tcPr>
            <w:tcW w:w="1680" w:type="dxa"/>
            <w:vAlign w:val="center"/>
          </w:tcPr>
          <w:p w:rsidR="00033699" w:rsidRPr="006266E3" w:rsidRDefault="00033699" w:rsidP="003F50DD">
            <w:pPr>
              <w:spacing w:after="0" w:line="240" w:lineRule="auto"/>
              <w:jc w:val="left"/>
              <w:rPr>
                <w:sz w:val="20"/>
              </w:rPr>
            </w:pPr>
            <w:r>
              <w:rPr>
                <w:color w:val="000000" w:themeColor="text1"/>
                <w:sz w:val="20"/>
                <w:lang w:val="en-US"/>
              </w:rPr>
              <w:t>No significant differences among rivers</w:t>
            </w:r>
          </w:p>
        </w:tc>
      </w:tr>
      <w:tr w:rsidR="00033699" w:rsidRPr="00BF49C9" w:rsidTr="003F50DD">
        <w:trPr>
          <w:cnfStyle w:val="000000010000"/>
        </w:trPr>
        <w:tc>
          <w:tcPr>
            <w:tcW w:w="1830" w:type="dxa"/>
            <w:vAlign w:val="center"/>
          </w:tcPr>
          <w:p w:rsidR="00033699" w:rsidRPr="00431746" w:rsidRDefault="00033699" w:rsidP="003F50DD">
            <w:pPr>
              <w:spacing w:after="0" w:line="240" w:lineRule="auto"/>
              <w:jc w:val="left"/>
              <w:rPr>
                <w:rFonts w:cs="Arial"/>
                <w:b/>
                <w:color w:val="000000"/>
                <w:sz w:val="20"/>
              </w:rPr>
            </w:pPr>
            <w:r w:rsidRPr="00431746">
              <w:rPr>
                <w:rFonts w:cs="Arial"/>
                <w:b/>
                <w:color w:val="000000"/>
                <w:sz w:val="20"/>
              </w:rPr>
              <w:t xml:space="preserve">Frogs </w:t>
            </w:r>
          </w:p>
        </w:tc>
        <w:tc>
          <w:tcPr>
            <w:tcW w:w="1876" w:type="dxa"/>
            <w:vAlign w:val="center"/>
          </w:tcPr>
          <w:p w:rsidR="00033699" w:rsidRPr="00A04E00" w:rsidRDefault="00033699" w:rsidP="003F50DD">
            <w:pPr>
              <w:spacing w:after="0" w:line="240" w:lineRule="auto"/>
              <w:jc w:val="left"/>
              <w:rPr>
                <w:sz w:val="20"/>
              </w:rPr>
            </w:pPr>
            <w:r w:rsidRPr="00A04E00">
              <w:rPr>
                <w:sz w:val="20"/>
              </w:rPr>
              <w:t>N/A</w:t>
            </w:r>
          </w:p>
        </w:tc>
        <w:tc>
          <w:tcPr>
            <w:tcW w:w="1848" w:type="dxa"/>
            <w:vAlign w:val="center"/>
          </w:tcPr>
          <w:p w:rsidR="00033699" w:rsidRPr="00BF49C9" w:rsidRDefault="00033699" w:rsidP="003F50DD">
            <w:pPr>
              <w:spacing w:after="0" w:line="240" w:lineRule="auto"/>
              <w:jc w:val="left"/>
            </w:pPr>
            <w:r w:rsidRPr="006266E3">
              <w:rPr>
                <w:sz w:val="20"/>
              </w:rPr>
              <w:t>No response</w:t>
            </w:r>
            <w:r>
              <w:rPr>
                <w:sz w:val="20"/>
              </w:rPr>
              <w:t xml:space="preserve"> detected</w:t>
            </w:r>
          </w:p>
        </w:tc>
        <w:tc>
          <w:tcPr>
            <w:tcW w:w="1833" w:type="dxa"/>
            <w:vAlign w:val="center"/>
          </w:tcPr>
          <w:p w:rsidR="00033699" w:rsidRPr="00BF49C9" w:rsidRDefault="00033699" w:rsidP="003F50DD">
            <w:pPr>
              <w:spacing w:after="0" w:line="240" w:lineRule="auto"/>
              <w:jc w:val="left"/>
            </w:pPr>
            <w:r w:rsidRPr="006266E3">
              <w:rPr>
                <w:sz w:val="20"/>
              </w:rPr>
              <w:t>No response</w:t>
            </w:r>
            <w:r>
              <w:rPr>
                <w:sz w:val="20"/>
              </w:rPr>
              <w:t xml:space="preserve"> detected</w:t>
            </w:r>
          </w:p>
        </w:tc>
        <w:tc>
          <w:tcPr>
            <w:tcW w:w="1680" w:type="dxa"/>
            <w:vAlign w:val="center"/>
          </w:tcPr>
          <w:p w:rsidR="00033699" w:rsidRPr="006266E3" w:rsidRDefault="00033699" w:rsidP="003F50DD">
            <w:pPr>
              <w:spacing w:after="0" w:line="240" w:lineRule="auto"/>
              <w:jc w:val="left"/>
              <w:rPr>
                <w:sz w:val="20"/>
              </w:rPr>
            </w:pPr>
            <w:r>
              <w:rPr>
                <w:sz w:val="20"/>
              </w:rPr>
              <w:t xml:space="preserve">Frog composition different in </w:t>
            </w:r>
            <w:proofErr w:type="spellStart"/>
            <w:r>
              <w:rPr>
                <w:sz w:val="20"/>
              </w:rPr>
              <w:t>Colligen</w:t>
            </w:r>
            <w:proofErr w:type="spellEnd"/>
            <w:r>
              <w:rPr>
                <w:sz w:val="20"/>
              </w:rPr>
              <w:t xml:space="preserve"> Creek than other three rivers</w:t>
            </w:r>
          </w:p>
        </w:tc>
      </w:tr>
      <w:tr w:rsidR="00033699" w:rsidRPr="00BF49C9" w:rsidTr="003F50DD">
        <w:trPr>
          <w:cnfStyle w:val="000000100000"/>
        </w:trPr>
        <w:tc>
          <w:tcPr>
            <w:tcW w:w="1830" w:type="dxa"/>
            <w:vAlign w:val="center"/>
          </w:tcPr>
          <w:p w:rsidR="00033699" w:rsidRPr="00431746" w:rsidRDefault="00033699" w:rsidP="003F50DD">
            <w:pPr>
              <w:spacing w:after="0" w:line="240" w:lineRule="auto"/>
              <w:jc w:val="left"/>
              <w:rPr>
                <w:rFonts w:cs="Arial"/>
                <w:b/>
                <w:color w:val="000000"/>
                <w:sz w:val="20"/>
              </w:rPr>
            </w:pPr>
            <w:r w:rsidRPr="00431746">
              <w:rPr>
                <w:rFonts w:cs="Arial"/>
                <w:b/>
                <w:color w:val="000000"/>
                <w:sz w:val="20"/>
              </w:rPr>
              <w:t>Fish spawning/ recruitment</w:t>
            </w:r>
          </w:p>
        </w:tc>
        <w:tc>
          <w:tcPr>
            <w:tcW w:w="1876" w:type="dxa"/>
            <w:vAlign w:val="center"/>
          </w:tcPr>
          <w:p w:rsidR="00033699" w:rsidRPr="00A04E00" w:rsidRDefault="00033699" w:rsidP="003F50DD">
            <w:pPr>
              <w:spacing w:after="0" w:line="240" w:lineRule="auto"/>
              <w:jc w:val="left"/>
              <w:rPr>
                <w:sz w:val="20"/>
              </w:rPr>
            </w:pPr>
            <w:r w:rsidRPr="00A04E00">
              <w:rPr>
                <w:sz w:val="20"/>
              </w:rPr>
              <w:t xml:space="preserve">Increase in abundance of larval carp </w:t>
            </w:r>
            <w:proofErr w:type="spellStart"/>
            <w:r w:rsidRPr="00A04E00">
              <w:rPr>
                <w:sz w:val="20"/>
              </w:rPr>
              <w:t>gudgeon</w:t>
            </w:r>
            <w:proofErr w:type="spellEnd"/>
            <w:r>
              <w:rPr>
                <w:sz w:val="20"/>
              </w:rPr>
              <w:t>. No response of other fish species</w:t>
            </w:r>
          </w:p>
        </w:tc>
        <w:tc>
          <w:tcPr>
            <w:tcW w:w="1848" w:type="dxa"/>
            <w:vAlign w:val="center"/>
          </w:tcPr>
          <w:p w:rsidR="00033699" w:rsidRPr="00BF49C9" w:rsidRDefault="00033699" w:rsidP="003F50DD">
            <w:pPr>
              <w:spacing w:after="0" w:line="240" w:lineRule="auto"/>
              <w:jc w:val="left"/>
            </w:pPr>
            <w:r w:rsidRPr="006266E3">
              <w:rPr>
                <w:sz w:val="20"/>
              </w:rPr>
              <w:t>No response</w:t>
            </w:r>
            <w:r>
              <w:rPr>
                <w:sz w:val="20"/>
              </w:rPr>
              <w:t xml:space="preserve"> detected</w:t>
            </w:r>
          </w:p>
        </w:tc>
        <w:tc>
          <w:tcPr>
            <w:tcW w:w="1833" w:type="dxa"/>
            <w:vAlign w:val="center"/>
          </w:tcPr>
          <w:p w:rsidR="00033699" w:rsidRPr="00BF49C9" w:rsidRDefault="00033699" w:rsidP="003F50DD">
            <w:pPr>
              <w:spacing w:after="0" w:line="240" w:lineRule="auto"/>
              <w:jc w:val="left"/>
            </w:pPr>
            <w:r w:rsidRPr="006266E3">
              <w:rPr>
                <w:sz w:val="20"/>
              </w:rPr>
              <w:t>No response</w:t>
            </w:r>
            <w:r>
              <w:rPr>
                <w:sz w:val="20"/>
              </w:rPr>
              <w:t xml:space="preserve"> detected</w:t>
            </w:r>
          </w:p>
        </w:tc>
        <w:tc>
          <w:tcPr>
            <w:tcW w:w="1680" w:type="dxa"/>
            <w:vAlign w:val="center"/>
          </w:tcPr>
          <w:p w:rsidR="00033699" w:rsidRPr="006266E3" w:rsidRDefault="00033699" w:rsidP="003F50DD">
            <w:pPr>
              <w:spacing w:after="0" w:line="240" w:lineRule="auto"/>
              <w:jc w:val="left"/>
              <w:rPr>
                <w:sz w:val="20"/>
              </w:rPr>
            </w:pPr>
            <w:r>
              <w:rPr>
                <w:sz w:val="20"/>
              </w:rPr>
              <w:t>N/A</w:t>
            </w:r>
          </w:p>
        </w:tc>
      </w:tr>
    </w:tbl>
    <w:p w:rsidR="00033699" w:rsidRDefault="00033699" w:rsidP="00033699">
      <w:pPr>
        <w:spacing w:after="0" w:line="240" w:lineRule="auto"/>
        <w:rPr>
          <w:sz w:val="18"/>
          <w:szCs w:val="18"/>
        </w:rPr>
      </w:pPr>
      <w:r w:rsidRPr="00A04E00">
        <w:rPr>
          <w:sz w:val="18"/>
          <w:szCs w:val="18"/>
        </w:rPr>
        <w:t xml:space="preserve">‡ Cannot evaluate since </w:t>
      </w:r>
      <w:proofErr w:type="spellStart"/>
      <w:r w:rsidRPr="00A04E00">
        <w:rPr>
          <w:sz w:val="18"/>
          <w:szCs w:val="18"/>
        </w:rPr>
        <w:t>Colligen</w:t>
      </w:r>
      <w:proofErr w:type="spellEnd"/>
      <w:r w:rsidRPr="00A04E00">
        <w:rPr>
          <w:sz w:val="18"/>
          <w:szCs w:val="18"/>
        </w:rPr>
        <w:t xml:space="preserve"> Creek differed from the other two – three rivers pre November 2011 environmental flow.</w:t>
      </w:r>
    </w:p>
    <w:p w:rsidR="00033699" w:rsidRDefault="00033699" w:rsidP="00033699">
      <w:pPr>
        <w:rPr>
          <w:b/>
          <w:sz w:val="32"/>
          <w:szCs w:val="32"/>
        </w:rPr>
      </w:pPr>
    </w:p>
    <w:sectPr w:rsidR="00033699" w:rsidSect="00FA4CF0">
      <w:headerReference w:type="even" r:id="rId17"/>
      <w:headerReference w:type="default" r:id="rId18"/>
      <w:footerReference w:type="even" r:id="rId19"/>
      <w:footerReference w:type="default" r:id="rId20"/>
      <w:headerReference w:type="first" r:id="rId21"/>
      <w:footerReference w:type="first" r:id="rId22"/>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83B" w:rsidRDefault="0030583B" w:rsidP="00A60185">
      <w:pPr>
        <w:spacing w:after="0" w:line="240" w:lineRule="auto"/>
      </w:pPr>
      <w:r>
        <w:separator/>
      </w:r>
    </w:p>
  </w:endnote>
  <w:endnote w:type="continuationSeparator" w:id="0">
    <w:p w:rsidR="0030583B" w:rsidRDefault="0030583B"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3B" w:rsidRDefault="003058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30583B" w:rsidRDefault="00F42A04">
        <w:pPr>
          <w:pStyle w:val="Footer"/>
          <w:jc w:val="center"/>
        </w:pPr>
        <w:fldSimple w:instr=" PAGE   \* MERGEFORMAT ">
          <w:r w:rsidR="00766CB7">
            <w:rPr>
              <w:noProof/>
            </w:rPr>
            <w:t>7</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3B" w:rsidRDefault="00305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83B" w:rsidRDefault="0030583B" w:rsidP="00A60185">
      <w:pPr>
        <w:spacing w:after="0" w:line="240" w:lineRule="auto"/>
      </w:pPr>
      <w:r>
        <w:separator/>
      </w:r>
    </w:p>
  </w:footnote>
  <w:footnote w:type="continuationSeparator" w:id="0">
    <w:p w:rsidR="0030583B" w:rsidRDefault="0030583B"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3B" w:rsidRDefault="00F42A04" w:rsidP="00E45765">
    <w:pPr>
      <w:pStyle w:val="Classification"/>
    </w:pPr>
    <w:r>
      <w:fldChar w:fldCharType="begin"/>
    </w:r>
    <w:r w:rsidR="0030583B">
      <w:instrText xml:space="preserve"> DOCPROPERTY SecurityClassification \* MERGEFORMAT </w:instrText>
    </w:r>
    <w:r>
      <w:fldChar w:fldCharType="separate"/>
    </w:r>
    <w:r w:rsidR="0030583B">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3B" w:rsidRDefault="003058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3B" w:rsidRDefault="003058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5456429"/>
    <w:multiLevelType w:val="multilevel"/>
    <w:tmpl w:val="E898CC72"/>
    <w:numStyleLink w:val="KeyPoints"/>
  </w:abstractNum>
  <w:abstractNum w:abstractNumId="5">
    <w:nsid w:val="662E4B96"/>
    <w:multiLevelType w:val="hybridMultilevel"/>
    <w:tmpl w:val="DAAEF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6C857835"/>
    <w:multiLevelType w:val="hybridMultilevel"/>
    <w:tmpl w:val="C0122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nsid w:val="7D0036D4"/>
    <w:multiLevelType w:val="hybridMultilevel"/>
    <w:tmpl w:val="B5AE5A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4"/>
  </w:num>
  <w:num w:numId="6">
    <w:abstractNumId w:val="1"/>
  </w:num>
  <w:num w:numId="7">
    <w:abstractNumId w:val="5"/>
  </w:num>
  <w:num w:numId="8">
    <w:abstractNumId w:val="8"/>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426FCA"/>
    <w:rsid w:val="00004AEE"/>
    <w:rsid w:val="00005CAA"/>
    <w:rsid w:val="00010210"/>
    <w:rsid w:val="00012D66"/>
    <w:rsid w:val="00015ADA"/>
    <w:rsid w:val="00020C99"/>
    <w:rsid w:val="0002707B"/>
    <w:rsid w:val="00033699"/>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227C"/>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0768"/>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0CE9"/>
    <w:rsid w:val="001E1182"/>
    <w:rsid w:val="00202C90"/>
    <w:rsid w:val="00213DE8"/>
    <w:rsid w:val="00216118"/>
    <w:rsid w:val="002209AB"/>
    <w:rsid w:val="002251E3"/>
    <w:rsid w:val="00227A95"/>
    <w:rsid w:val="002316BD"/>
    <w:rsid w:val="00243F45"/>
    <w:rsid w:val="002473FC"/>
    <w:rsid w:val="00252E3C"/>
    <w:rsid w:val="00262198"/>
    <w:rsid w:val="00285F1B"/>
    <w:rsid w:val="00292B81"/>
    <w:rsid w:val="002B18AE"/>
    <w:rsid w:val="002C1C93"/>
    <w:rsid w:val="002C5066"/>
    <w:rsid w:val="002C5813"/>
    <w:rsid w:val="002D4AAC"/>
    <w:rsid w:val="002F045A"/>
    <w:rsid w:val="0030039D"/>
    <w:rsid w:val="0030326F"/>
    <w:rsid w:val="0030583B"/>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D8"/>
    <w:rsid w:val="003E2100"/>
    <w:rsid w:val="003F50DD"/>
    <w:rsid w:val="003F6F5B"/>
    <w:rsid w:val="0040342D"/>
    <w:rsid w:val="0041192D"/>
    <w:rsid w:val="00413EE1"/>
    <w:rsid w:val="0042128E"/>
    <w:rsid w:val="00426FCA"/>
    <w:rsid w:val="00432B60"/>
    <w:rsid w:val="00440698"/>
    <w:rsid w:val="004540E2"/>
    <w:rsid w:val="00454454"/>
    <w:rsid w:val="00467924"/>
    <w:rsid w:val="004712A5"/>
    <w:rsid w:val="0047266F"/>
    <w:rsid w:val="00476826"/>
    <w:rsid w:val="00476D6B"/>
    <w:rsid w:val="00492C16"/>
    <w:rsid w:val="004A0678"/>
    <w:rsid w:val="004A48A3"/>
    <w:rsid w:val="004A501A"/>
    <w:rsid w:val="004B0D92"/>
    <w:rsid w:val="004B0EC0"/>
    <w:rsid w:val="004B66F1"/>
    <w:rsid w:val="004C3EA0"/>
    <w:rsid w:val="004E1BD7"/>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D2C39"/>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2E03"/>
    <w:rsid w:val="006A4F4E"/>
    <w:rsid w:val="006A6C23"/>
    <w:rsid w:val="006A6DAC"/>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6CB7"/>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1DEC"/>
    <w:rsid w:val="008A3C96"/>
    <w:rsid w:val="008B4019"/>
    <w:rsid w:val="008B65C9"/>
    <w:rsid w:val="008C2D4A"/>
    <w:rsid w:val="008C3A35"/>
    <w:rsid w:val="008D3900"/>
    <w:rsid w:val="008D6E1D"/>
    <w:rsid w:val="008F39B4"/>
    <w:rsid w:val="008F4162"/>
    <w:rsid w:val="00903113"/>
    <w:rsid w:val="00903E02"/>
    <w:rsid w:val="00913175"/>
    <w:rsid w:val="00916EDB"/>
    <w:rsid w:val="00920861"/>
    <w:rsid w:val="00922B13"/>
    <w:rsid w:val="009242EF"/>
    <w:rsid w:val="00932291"/>
    <w:rsid w:val="00932861"/>
    <w:rsid w:val="0093408E"/>
    <w:rsid w:val="00952DDF"/>
    <w:rsid w:val="00963B6A"/>
    <w:rsid w:val="00970950"/>
    <w:rsid w:val="0097514B"/>
    <w:rsid w:val="009812D4"/>
    <w:rsid w:val="009920D8"/>
    <w:rsid w:val="009B38BE"/>
    <w:rsid w:val="009B4568"/>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54DE9"/>
    <w:rsid w:val="00B553EC"/>
    <w:rsid w:val="00B55E3F"/>
    <w:rsid w:val="00B93DD0"/>
    <w:rsid w:val="00B97732"/>
    <w:rsid w:val="00BA65A8"/>
    <w:rsid w:val="00BA6D19"/>
    <w:rsid w:val="00BA7461"/>
    <w:rsid w:val="00BA7DA9"/>
    <w:rsid w:val="00BC4215"/>
    <w:rsid w:val="00BD1A6F"/>
    <w:rsid w:val="00BE0A88"/>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4365"/>
    <w:rsid w:val="00CC572D"/>
    <w:rsid w:val="00CD11B0"/>
    <w:rsid w:val="00CE71C2"/>
    <w:rsid w:val="00CF42D5"/>
    <w:rsid w:val="00CF4EDA"/>
    <w:rsid w:val="00D021CB"/>
    <w:rsid w:val="00D0626B"/>
    <w:rsid w:val="00D10F1A"/>
    <w:rsid w:val="00D116F8"/>
    <w:rsid w:val="00D14CE9"/>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1D8"/>
    <w:rsid w:val="00E5098C"/>
    <w:rsid w:val="00E60213"/>
    <w:rsid w:val="00E661B2"/>
    <w:rsid w:val="00E74D29"/>
    <w:rsid w:val="00E83C74"/>
    <w:rsid w:val="00E83CEE"/>
    <w:rsid w:val="00E91F18"/>
    <w:rsid w:val="00E9226D"/>
    <w:rsid w:val="00EA416C"/>
    <w:rsid w:val="00EA5941"/>
    <w:rsid w:val="00EB60CE"/>
    <w:rsid w:val="00EB7D53"/>
    <w:rsid w:val="00EE242E"/>
    <w:rsid w:val="00EE3146"/>
    <w:rsid w:val="00EF50BB"/>
    <w:rsid w:val="00EF53FF"/>
    <w:rsid w:val="00F00192"/>
    <w:rsid w:val="00F01DF6"/>
    <w:rsid w:val="00F0340D"/>
    <w:rsid w:val="00F059A6"/>
    <w:rsid w:val="00F23756"/>
    <w:rsid w:val="00F2523A"/>
    <w:rsid w:val="00F25FFA"/>
    <w:rsid w:val="00F310D2"/>
    <w:rsid w:val="00F36F3D"/>
    <w:rsid w:val="00F42A04"/>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33699"/>
    <w:pPr>
      <w:spacing w:after="360" w:line="360" w:lineRule="auto"/>
      <w:jc w:val="both"/>
    </w:pPr>
    <w:rPr>
      <w:rFonts w:ascii="Calibri" w:hAnsi="Calibri"/>
      <w:sz w:val="22"/>
      <w:lang w:eastAsia="en-US"/>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lang w:eastAsia="en-AU"/>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CommentText">
    <w:name w:val="annotation text"/>
    <w:basedOn w:val="Normal"/>
    <w:link w:val="CommentTextChar"/>
    <w:uiPriority w:val="99"/>
    <w:semiHidden/>
    <w:rsid w:val="00033699"/>
    <w:pPr>
      <w:spacing w:after="0"/>
    </w:pPr>
    <w:rPr>
      <w:rFonts w:ascii="Arial" w:hAnsi="Arial" w:cs="Arial"/>
      <w:sz w:val="20"/>
      <w:lang w:val="en-US"/>
    </w:rPr>
  </w:style>
  <w:style w:type="character" w:customStyle="1" w:styleId="CommentTextChar">
    <w:name w:val="Comment Text Char"/>
    <w:basedOn w:val="DefaultParagraphFont"/>
    <w:link w:val="CommentText"/>
    <w:uiPriority w:val="99"/>
    <w:semiHidden/>
    <w:rsid w:val="00033699"/>
    <w:rPr>
      <w:rFonts w:cs="Arial"/>
      <w:lang w:val="en-US" w:eastAsia="en-US"/>
    </w:rPr>
  </w:style>
  <w:style w:type="paragraph" w:styleId="NormalWeb">
    <w:name w:val="Normal (Web)"/>
    <w:basedOn w:val="Normal"/>
    <w:uiPriority w:val="99"/>
    <w:unhideWhenUsed/>
    <w:rsid w:val="00033699"/>
    <w:pPr>
      <w:spacing w:before="100" w:beforeAutospacing="1" w:after="100" w:afterAutospacing="1" w:line="240" w:lineRule="auto"/>
      <w:jc w:val="left"/>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033699"/>
    <w:rPr>
      <w:sz w:val="16"/>
      <w:szCs w:val="16"/>
    </w:rPr>
  </w:style>
  <w:style w:type="paragraph" w:styleId="CommentSubject">
    <w:name w:val="annotation subject"/>
    <w:basedOn w:val="CommentText"/>
    <w:next w:val="CommentText"/>
    <w:link w:val="CommentSubjectChar"/>
    <w:uiPriority w:val="99"/>
    <w:semiHidden/>
    <w:unhideWhenUsed/>
    <w:rsid w:val="006A6DAC"/>
    <w:pPr>
      <w:spacing w:after="360" w:line="240" w:lineRule="auto"/>
    </w:pPr>
    <w:rPr>
      <w:rFonts w:ascii="Calibri" w:hAnsi="Calibri" w:cs="Times New Roman"/>
      <w:b/>
      <w:bCs/>
      <w:lang w:val="en-AU"/>
    </w:rPr>
  </w:style>
  <w:style w:type="character" w:customStyle="1" w:styleId="CommentSubjectChar">
    <w:name w:val="Comment Subject Char"/>
    <w:basedOn w:val="CommentTextChar"/>
    <w:link w:val="CommentSubject"/>
    <w:uiPriority w:val="99"/>
    <w:semiHidden/>
    <w:rsid w:val="006A6DAC"/>
    <w:rPr>
      <w:rFonts w:ascii="Calibri" w:hAnsi="Calibri"/>
      <w:b/>
      <w:bCs/>
    </w:rPr>
  </w:style>
  <w:style w:type="character" w:styleId="Hyperlink">
    <w:name w:val="Hyperlink"/>
    <w:basedOn w:val="DefaultParagraphFont"/>
    <w:uiPriority w:val="99"/>
    <w:unhideWhenUsed/>
    <w:rsid w:val="006A6D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55081565">
      <w:bodyDiv w:val="1"/>
      <w:marLeft w:val="0"/>
      <w:marRight w:val="0"/>
      <w:marTop w:val="0"/>
      <w:marBottom w:val="0"/>
      <w:divBdr>
        <w:top w:val="none" w:sz="0" w:space="0" w:color="auto"/>
        <w:left w:val="none" w:sz="0" w:space="0" w:color="auto"/>
        <w:bottom w:val="none" w:sz="0" w:space="0" w:color="auto"/>
        <w:right w:val="none" w:sz="0" w:space="0" w:color="auto"/>
      </w:divBdr>
      <w:divsChild>
        <w:div w:id="47801737">
          <w:marLeft w:val="0"/>
          <w:marRight w:val="0"/>
          <w:marTop w:val="0"/>
          <w:marBottom w:val="0"/>
          <w:divBdr>
            <w:top w:val="none" w:sz="0" w:space="0" w:color="auto"/>
            <w:left w:val="none" w:sz="0" w:space="0" w:color="auto"/>
            <w:bottom w:val="none" w:sz="0" w:space="0" w:color="auto"/>
            <w:right w:val="none" w:sz="0" w:space="0" w:color="auto"/>
          </w:divBdr>
        </w:div>
      </w:divsChild>
    </w:div>
    <w:div w:id="2004432529">
      <w:bodyDiv w:val="1"/>
      <w:marLeft w:val="0"/>
      <w:marRight w:val="0"/>
      <w:marTop w:val="0"/>
      <w:marBottom w:val="0"/>
      <w:divBdr>
        <w:top w:val="none" w:sz="0" w:space="0" w:color="auto"/>
        <w:left w:val="none" w:sz="0" w:space="0" w:color="auto"/>
        <w:bottom w:val="none" w:sz="0" w:space="0" w:color="auto"/>
        <w:right w:val="none" w:sz="0" w:space="0" w:color="auto"/>
      </w:divBdr>
      <w:divsChild>
        <w:div w:id="1594783415">
          <w:marLeft w:val="0"/>
          <w:marRight w:val="0"/>
          <w:marTop w:val="0"/>
          <w:marBottom w:val="0"/>
          <w:divBdr>
            <w:top w:val="none" w:sz="0" w:space="0" w:color="auto"/>
            <w:left w:val="none" w:sz="0" w:space="0" w:color="auto"/>
            <w:bottom w:val="none" w:sz="0" w:space="0" w:color="auto"/>
            <w:right w:val="none" w:sz="0" w:space="0" w:color="auto"/>
          </w:divBdr>
          <w:divsChild>
            <w:div w:id="14762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dba.gov.au/water/blackwat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nvironment.gov.au/ewater/southern/murray/mid-murray.html%2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dba.gov.au/water/blackwate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58672-61C7-41A7-B876-6C6CCDC8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3202</Words>
  <Characters>18255</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21415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of ecosystem responses to the delivery of environmental water in the Edward-Wakool system, 2011-2012 - Executive Summary</dc:title>
  <dc:creator>Tim Wyndham</dc:creator>
  <cp:lastModifiedBy>Rebecca Durack</cp:lastModifiedBy>
  <cp:revision>2</cp:revision>
  <cp:lastPrinted>2013-08-11T22:49:00Z</cp:lastPrinted>
  <dcterms:created xsi:type="dcterms:W3CDTF">2013-08-12T04:18:00Z</dcterms:created>
  <dcterms:modified xsi:type="dcterms:W3CDTF">2013-08-12T04:18:00Z</dcterms:modified>
</cp:coreProperties>
</file>